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38DD71" w14:textId="061224AA" w:rsidR="003C2A9F" w:rsidRDefault="003C2A9F" w:rsidP="00740D27">
      <w:pPr>
        <w:jc w:val="center"/>
        <w:rPr>
          <w:rFonts w:ascii="Arial" w:hAnsi="Arial" w:cs="Arial"/>
          <w:b/>
          <w:bCs/>
          <w:sz w:val="24"/>
          <w:szCs w:val="24"/>
        </w:rPr>
      </w:pPr>
      <w:r w:rsidRPr="003C2A9F">
        <w:rPr>
          <w:rFonts w:ascii="Arial" w:hAnsi="Arial" w:cs="Arial"/>
          <w:b/>
          <w:bCs/>
          <w:sz w:val="24"/>
          <w:szCs w:val="24"/>
        </w:rPr>
        <w:t xml:space="preserve">Tráfico de influencias y simulación delictiva: análisis crítico del Acuerdo Plenario </w:t>
      </w:r>
      <w:proofErr w:type="spellStart"/>
      <w:r w:rsidRPr="003C2A9F">
        <w:rPr>
          <w:rFonts w:ascii="Arial" w:hAnsi="Arial" w:cs="Arial"/>
          <w:b/>
          <w:bCs/>
          <w:sz w:val="24"/>
          <w:szCs w:val="24"/>
        </w:rPr>
        <w:t>N.°</w:t>
      </w:r>
      <w:proofErr w:type="spellEnd"/>
      <w:r w:rsidRPr="003C2A9F">
        <w:rPr>
          <w:rFonts w:ascii="Arial" w:hAnsi="Arial" w:cs="Arial"/>
          <w:b/>
          <w:bCs/>
          <w:sz w:val="24"/>
          <w:szCs w:val="24"/>
        </w:rPr>
        <w:t xml:space="preserve"> 3-2015/CIJ-116</w:t>
      </w:r>
    </w:p>
    <w:p w14:paraId="01153E8A" w14:textId="0A50B5E3" w:rsidR="00740D27" w:rsidRPr="009510B5" w:rsidRDefault="00740D27" w:rsidP="00740D27">
      <w:pPr>
        <w:jc w:val="center"/>
        <w:rPr>
          <w:rFonts w:ascii="Arial" w:hAnsi="Arial" w:cs="Arial"/>
          <w:b/>
          <w:bCs/>
          <w:sz w:val="24"/>
          <w:szCs w:val="24"/>
          <w:lang w:val="en-US"/>
        </w:rPr>
      </w:pPr>
      <w:r w:rsidRPr="009510B5">
        <w:rPr>
          <w:rFonts w:ascii="Arial" w:hAnsi="Arial" w:cs="Arial"/>
          <w:b/>
          <w:bCs/>
          <w:sz w:val="24"/>
          <w:szCs w:val="24"/>
          <w:lang w:val="en-US"/>
        </w:rPr>
        <w:t>Trafficking of influence and criminal simulation: critical analysis of Plenary Agreement No. 3-2015/CIJ-116</w:t>
      </w:r>
    </w:p>
    <w:p w14:paraId="555E890D" w14:textId="26BC8B6B" w:rsidR="00740D27" w:rsidRPr="009510B5" w:rsidRDefault="00740D27" w:rsidP="00740D27">
      <w:pPr>
        <w:jc w:val="center"/>
        <w:rPr>
          <w:rFonts w:ascii="Arial" w:hAnsi="Arial" w:cs="Arial"/>
          <w:b/>
          <w:bCs/>
          <w:sz w:val="24"/>
          <w:szCs w:val="24"/>
          <w:lang w:val="en-US"/>
        </w:rPr>
      </w:pPr>
    </w:p>
    <w:p w14:paraId="13E2AB7D" w14:textId="621D2161" w:rsidR="00F96D57" w:rsidRDefault="00F96D57" w:rsidP="00740D27">
      <w:pPr>
        <w:jc w:val="right"/>
        <w:rPr>
          <w:rFonts w:ascii="Arial" w:hAnsi="Arial" w:cs="Arial"/>
          <w:sz w:val="24"/>
          <w:szCs w:val="24"/>
        </w:rPr>
      </w:pPr>
      <w:r w:rsidRPr="00F96D57">
        <w:rPr>
          <w:rFonts w:ascii="Arial" w:hAnsi="Arial" w:cs="Arial"/>
          <w:sz w:val="24"/>
          <w:szCs w:val="24"/>
        </w:rPr>
        <w:t xml:space="preserve">Alfredo </w:t>
      </w:r>
      <w:proofErr w:type="spellStart"/>
      <w:r w:rsidRPr="00F96D57">
        <w:rPr>
          <w:rFonts w:ascii="Arial" w:hAnsi="Arial" w:cs="Arial"/>
          <w:sz w:val="24"/>
          <w:szCs w:val="24"/>
        </w:rPr>
        <w:t>Lening</w:t>
      </w:r>
      <w:proofErr w:type="spellEnd"/>
      <w:r>
        <w:rPr>
          <w:rFonts w:ascii="Arial" w:hAnsi="Arial" w:cs="Arial"/>
          <w:sz w:val="24"/>
          <w:szCs w:val="24"/>
        </w:rPr>
        <w:t>,</w:t>
      </w:r>
      <w:r w:rsidRPr="00F96D57">
        <w:rPr>
          <w:rFonts w:ascii="Arial" w:hAnsi="Arial" w:cs="Arial"/>
          <w:sz w:val="24"/>
          <w:szCs w:val="24"/>
        </w:rPr>
        <w:t xml:space="preserve"> Hurtado </w:t>
      </w:r>
      <w:proofErr w:type="spellStart"/>
      <w:r w:rsidRPr="00F96D57">
        <w:rPr>
          <w:rFonts w:ascii="Arial" w:hAnsi="Arial" w:cs="Arial"/>
          <w:sz w:val="24"/>
          <w:szCs w:val="24"/>
        </w:rPr>
        <w:t>Gutierrez</w:t>
      </w:r>
      <w:proofErr w:type="spellEnd"/>
    </w:p>
    <w:p w14:paraId="3140AACA" w14:textId="77777777" w:rsidR="00F96D57" w:rsidRDefault="00F96D57" w:rsidP="00F96D57">
      <w:pPr>
        <w:jc w:val="right"/>
        <w:rPr>
          <w:rFonts w:ascii="Arial" w:hAnsi="Arial" w:cs="Arial"/>
          <w:sz w:val="24"/>
          <w:szCs w:val="24"/>
        </w:rPr>
      </w:pPr>
      <w:r w:rsidRPr="00F96D57">
        <w:rPr>
          <w:rFonts w:ascii="Arial" w:hAnsi="Arial" w:cs="Arial"/>
          <w:sz w:val="24"/>
          <w:szCs w:val="24"/>
        </w:rPr>
        <w:t>Universidad Continental</w:t>
      </w:r>
    </w:p>
    <w:p w14:paraId="1296762F" w14:textId="648037F7" w:rsidR="00F96D57" w:rsidRDefault="00F96D57" w:rsidP="00740D27">
      <w:pPr>
        <w:jc w:val="right"/>
        <w:rPr>
          <w:rFonts w:ascii="Arial" w:hAnsi="Arial" w:cs="Arial"/>
          <w:sz w:val="24"/>
          <w:szCs w:val="24"/>
        </w:rPr>
      </w:pPr>
      <w:r w:rsidRPr="00F96D57">
        <w:rPr>
          <w:rFonts w:ascii="Arial" w:hAnsi="Arial" w:cs="Arial"/>
          <w:sz w:val="24"/>
          <w:szCs w:val="24"/>
        </w:rPr>
        <w:t>https://orcid.org/</w:t>
      </w:r>
    </w:p>
    <w:p w14:paraId="2ED66783" w14:textId="13DBE2DD" w:rsidR="00F96D57" w:rsidRDefault="00F96D57" w:rsidP="00F96D57">
      <w:pPr>
        <w:ind w:left="708" w:firstLine="708"/>
        <w:jc w:val="right"/>
        <w:rPr>
          <w:rFonts w:ascii="Arial" w:hAnsi="Arial" w:cs="Arial"/>
          <w:sz w:val="24"/>
          <w:szCs w:val="24"/>
        </w:rPr>
      </w:pPr>
      <w:r w:rsidRPr="00F96D57">
        <w:rPr>
          <w:rFonts w:ascii="Arial" w:hAnsi="Arial" w:cs="Arial"/>
          <w:sz w:val="24"/>
          <w:szCs w:val="24"/>
        </w:rPr>
        <w:t>Frank Junior</w:t>
      </w:r>
      <w:r>
        <w:rPr>
          <w:rFonts w:ascii="Arial" w:hAnsi="Arial" w:cs="Arial"/>
          <w:sz w:val="24"/>
          <w:szCs w:val="24"/>
        </w:rPr>
        <w:t xml:space="preserve"> </w:t>
      </w:r>
      <w:r w:rsidRPr="00F96D57">
        <w:rPr>
          <w:rFonts w:ascii="Arial" w:hAnsi="Arial" w:cs="Arial"/>
          <w:sz w:val="24"/>
          <w:szCs w:val="24"/>
        </w:rPr>
        <w:t>Huamanchumo Sandoval</w:t>
      </w:r>
    </w:p>
    <w:p w14:paraId="557B50AE" w14:textId="77777777" w:rsidR="00F96D57" w:rsidRDefault="00F96D57" w:rsidP="00F96D57">
      <w:pPr>
        <w:jc w:val="right"/>
        <w:rPr>
          <w:rFonts w:ascii="Arial" w:hAnsi="Arial" w:cs="Arial"/>
          <w:sz w:val="24"/>
          <w:szCs w:val="24"/>
        </w:rPr>
      </w:pPr>
      <w:r w:rsidRPr="00F96D57">
        <w:rPr>
          <w:rFonts w:ascii="Arial" w:hAnsi="Arial" w:cs="Arial"/>
          <w:sz w:val="24"/>
          <w:szCs w:val="24"/>
        </w:rPr>
        <w:t>Universidad Continental</w:t>
      </w:r>
    </w:p>
    <w:p w14:paraId="064F439A" w14:textId="1C7AD251" w:rsidR="009510B5" w:rsidRDefault="009510B5" w:rsidP="00F96D57">
      <w:pPr>
        <w:jc w:val="right"/>
        <w:rPr>
          <w:rFonts w:ascii="Arial" w:hAnsi="Arial" w:cs="Arial"/>
          <w:sz w:val="24"/>
          <w:szCs w:val="24"/>
        </w:rPr>
      </w:pPr>
      <w:hyperlink r:id="rId5" w:history="1">
        <w:r w:rsidRPr="003858BA">
          <w:rPr>
            <w:rStyle w:val="Hipervnculo"/>
            <w:rFonts w:ascii="Arial" w:hAnsi="Arial" w:cs="Arial"/>
            <w:sz w:val="24"/>
            <w:szCs w:val="24"/>
          </w:rPr>
          <w:t>https://orcid.org/0009-0009-9347-4654</w:t>
        </w:r>
      </w:hyperlink>
      <w:r>
        <w:rPr>
          <w:rFonts w:ascii="Arial" w:hAnsi="Arial" w:cs="Arial"/>
          <w:sz w:val="24"/>
          <w:szCs w:val="24"/>
        </w:rPr>
        <w:t xml:space="preserve"> </w:t>
      </w:r>
    </w:p>
    <w:p w14:paraId="2A3D5D97" w14:textId="195F1515" w:rsidR="00740D27" w:rsidRDefault="00740D27" w:rsidP="00740D27">
      <w:pPr>
        <w:jc w:val="right"/>
        <w:rPr>
          <w:rFonts w:ascii="Arial" w:hAnsi="Arial" w:cs="Arial"/>
          <w:sz w:val="24"/>
          <w:szCs w:val="24"/>
        </w:rPr>
      </w:pPr>
      <w:r w:rsidRPr="00F96D57">
        <w:rPr>
          <w:rFonts w:ascii="Arial" w:hAnsi="Arial" w:cs="Arial"/>
          <w:sz w:val="24"/>
          <w:szCs w:val="24"/>
        </w:rPr>
        <w:t>Fernando Alí, Hora Ordinola</w:t>
      </w:r>
    </w:p>
    <w:p w14:paraId="17C5FAB8" w14:textId="77777777" w:rsidR="00F96D57" w:rsidRDefault="00F96D57" w:rsidP="00F96D57">
      <w:pPr>
        <w:jc w:val="right"/>
        <w:rPr>
          <w:rFonts w:ascii="Arial" w:hAnsi="Arial" w:cs="Arial"/>
          <w:sz w:val="24"/>
          <w:szCs w:val="24"/>
        </w:rPr>
      </w:pPr>
      <w:r w:rsidRPr="00F96D57">
        <w:rPr>
          <w:rFonts w:ascii="Arial" w:hAnsi="Arial" w:cs="Arial"/>
          <w:sz w:val="24"/>
          <w:szCs w:val="24"/>
        </w:rPr>
        <w:t>Universidad Continental</w:t>
      </w:r>
    </w:p>
    <w:p w14:paraId="21301E9E" w14:textId="77777777" w:rsidR="00F96D57" w:rsidRDefault="00F96D57" w:rsidP="00F96D57">
      <w:pPr>
        <w:jc w:val="right"/>
        <w:rPr>
          <w:rFonts w:ascii="Arial" w:hAnsi="Arial" w:cs="Arial"/>
          <w:sz w:val="24"/>
          <w:szCs w:val="24"/>
        </w:rPr>
      </w:pPr>
      <w:r w:rsidRPr="00F96D57">
        <w:rPr>
          <w:rFonts w:ascii="Arial" w:hAnsi="Arial" w:cs="Arial"/>
          <w:sz w:val="24"/>
          <w:szCs w:val="24"/>
        </w:rPr>
        <w:t>https://orcid.org/</w:t>
      </w:r>
    </w:p>
    <w:p w14:paraId="79D7258B" w14:textId="478CDCB1" w:rsidR="00F96D57" w:rsidRDefault="00F96D57" w:rsidP="00740D27">
      <w:pPr>
        <w:jc w:val="right"/>
        <w:rPr>
          <w:rFonts w:ascii="Arial" w:hAnsi="Arial" w:cs="Arial"/>
          <w:sz w:val="24"/>
          <w:szCs w:val="24"/>
        </w:rPr>
      </w:pPr>
      <w:r w:rsidRPr="00F96D57">
        <w:rPr>
          <w:rFonts w:ascii="Arial" w:hAnsi="Arial" w:cs="Arial"/>
          <w:sz w:val="24"/>
          <w:szCs w:val="24"/>
        </w:rPr>
        <w:t>Rene Jaime</w:t>
      </w:r>
      <w:r>
        <w:rPr>
          <w:rFonts w:ascii="Arial" w:hAnsi="Arial" w:cs="Arial"/>
          <w:sz w:val="24"/>
          <w:szCs w:val="24"/>
        </w:rPr>
        <w:t>,</w:t>
      </w:r>
      <w:r w:rsidRPr="00F96D57">
        <w:rPr>
          <w:rFonts w:ascii="Arial" w:hAnsi="Arial" w:cs="Arial"/>
          <w:sz w:val="24"/>
          <w:szCs w:val="24"/>
        </w:rPr>
        <w:t xml:space="preserve"> Mamani Morales</w:t>
      </w:r>
    </w:p>
    <w:p w14:paraId="1F6B80D9" w14:textId="77777777" w:rsidR="00F96D57" w:rsidRDefault="00F96D57" w:rsidP="00F96D57">
      <w:pPr>
        <w:jc w:val="right"/>
        <w:rPr>
          <w:rFonts w:ascii="Arial" w:hAnsi="Arial" w:cs="Arial"/>
          <w:sz w:val="24"/>
          <w:szCs w:val="24"/>
        </w:rPr>
      </w:pPr>
      <w:r w:rsidRPr="00F96D57">
        <w:rPr>
          <w:rFonts w:ascii="Arial" w:hAnsi="Arial" w:cs="Arial"/>
          <w:sz w:val="24"/>
          <w:szCs w:val="24"/>
        </w:rPr>
        <w:t>Universidad Continental</w:t>
      </w:r>
    </w:p>
    <w:p w14:paraId="7A3AD30E" w14:textId="77777777" w:rsidR="00F96D57" w:rsidRDefault="00F96D57" w:rsidP="00F96D57">
      <w:pPr>
        <w:jc w:val="right"/>
        <w:rPr>
          <w:rFonts w:ascii="Arial" w:hAnsi="Arial" w:cs="Arial"/>
          <w:sz w:val="24"/>
          <w:szCs w:val="24"/>
        </w:rPr>
      </w:pPr>
      <w:r w:rsidRPr="00F96D57">
        <w:rPr>
          <w:rFonts w:ascii="Arial" w:hAnsi="Arial" w:cs="Arial"/>
          <w:sz w:val="24"/>
          <w:szCs w:val="24"/>
        </w:rPr>
        <w:t>https://orcid.org/</w:t>
      </w:r>
    </w:p>
    <w:p w14:paraId="0E5021B6" w14:textId="77777777" w:rsidR="00F96D57" w:rsidRDefault="00F96D57" w:rsidP="00F96D57">
      <w:pPr>
        <w:ind w:left="708" w:firstLine="708"/>
        <w:jc w:val="right"/>
        <w:rPr>
          <w:rFonts w:ascii="Arial" w:hAnsi="Arial" w:cs="Arial"/>
          <w:sz w:val="24"/>
          <w:szCs w:val="24"/>
        </w:rPr>
      </w:pPr>
      <w:r w:rsidRPr="00F96D57">
        <w:rPr>
          <w:rFonts w:ascii="Arial" w:hAnsi="Arial" w:cs="Arial"/>
          <w:sz w:val="24"/>
          <w:szCs w:val="24"/>
        </w:rPr>
        <w:t xml:space="preserve">Segundo </w:t>
      </w:r>
      <w:proofErr w:type="spellStart"/>
      <w:r w:rsidRPr="00F96D57">
        <w:rPr>
          <w:rFonts w:ascii="Arial" w:hAnsi="Arial" w:cs="Arial"/>
          <w:sz w:val="24"/>
          <w:szCs w:val="24"/>
        </w:rPr>
        <w:t>Victor</w:t>
      </w:r>
      <w:proofErr w:type="spellEnd"/>
      <w:r>
        <w:rPr>
          <w:rFonts w:ascii="Arial" w:hAnsi="Arial" w:cs="Arial"/>
          <w:sz w:val="24"/>
          <w:szCs w:val="24"/>
        </w:rPr>
        <w:t xml:space="preserve">, </w:t>
      </w:r>
      <w:r w:rsidRPr="00F96D57">
        <w:rPr>
          <w:rFonts w:ascii="Arial" w:hAnsi="Arial" w:cs="Arial"/>
          <w:sz w:val="24"/>
          <w:szCs w:val="24"/>
        </w:rPr>
        <w:t>León Ramírez</w:t>
      </w:r>
    </w:p>
    <w:p w14:paraId="3329E8F5" w14:textId="77777777" w:rsidR="00F96D57" w:rsidRDefault="00F96D57" w:rsidP="00F96D57">
      <w:pPr>
        <w:jc w:val="right"/>
        <w:rPr>
          <w:rFonts w:ascii="Arial" w:hAnsi="Arial" w:cs="Arial"/>
          <w:sz w:val="24"/>
          <w:szCs w:val="24"/>
        </w:rPr>
      </w:pPr>
      <w:r w:rsidRPr="00F96D57">
        <w:rPr>
          <w:rFonts w:ascii="Arial" w:hAnsi="Arial" w:cs="Arial"/>
          <w:sz w:val="24"/>
          <w:szCs w:val="24"/>
        </w:rPr>
        <w:t>Universidad Continental</w:t>
      </w:r>
    </w:p>
    <w:p w14:paraId="01AE08A4" w14:textId="78E5FE84" w:rsidR="00F96D57" w:rsidRPr="00F96D57" w:rsidRDefault="00F96D57" w:rsidP="00F96D57">
      <w:pPr>
        <w:ind w:left="708" w:firstLine="708"/>
        <w:jc w:val="right"/>
        <w:rPr>
          <w:rFonts w:ascii="Arial" w:hAnsi="Arial" w:cs="Arial"/>
          <w:sz w:val="24"/>
          <w:szCs w:val="24"/>
        </w:rPr>
      </w:pPr>
      <w:r>
        <w:rPr>
          <w:rFonts w:ascii="Arial" w:hAnsi="Arial" w:cs="Arial"/>
          <w:sz w:val="24"/>
          <w:szCs w:val="24"/>
        </w:rPr>
        <w:t xml:space="preserve"> </w:t>
      </w:r>
      <w:hyperlink r:id="rId6" w:history="1">
        <w:r w:rsidRPr="00196E99">
          <w:rPr>
            <w:rStyle w:val="Hipervnculo"/>
            <w:rFonts w:ascii="Arial" w:hAnsi="Arial" w:cs="Arial"/>
            <w:sz w:val="24"/>
            <w:szCs w:val="24"/>
          </w:rPr>
          <w:t>https://orcid.org/0000-0003-2388-450X</w:t>
        </w:r>
      </w:hyperlink>
      <w:r>
        <w:rPr>
          <w:rFonts w:ascii="Arial" w:hAnsi="Arial" w:cs="Arial"/>
          <w:sz w:val="24"/>
          <w:szCs w:val="24"/>
        </w:rPr>
        <w:t xml:space="preserve"> </w:t>
      </w:r>
    </w:p>
    <w:p w14:paraId="0271C009" w14:textId="77777777" w:rsidR="00740D27" w:rsidRPr="003C2A9F" w:rsidRDefault="00740D27" w:rsidP="00740D27">
      <w:pPr>
        <w:jc w:val="center"/>
        <w:rPr>
          <w:rFonts w:ascii="Arial" w:hAnsi="Arial" w:cs="Arial"/>
          <w:b/>
          <w:bCs/>
          <w:sz w:val="24"/>
          <w:szCs w:val="24"/>
        </w:rPr>
      </w:pPr>
    </w:p>
    <w:p w14:paraId="3F79F205" w14:textId="44467040" w:rsidR="003C2A9F" w:rsidRDefault="003C2A9F" w:rsidP="003C2A9F">
      <w:pPr>
        <w:rPr>
          <w:rFonts w:ascii="Arial" w:hAnsi="Arial" w:cs="Arial"/>
          <w:sz w:val="24"/>
          <w:szCs w:val="24"/>
        </w:rPr>
      </w:pPr>
    </w:p>
    <w:p w14:paraId="5D4D1732" w14:textId="38A9A37E" w:rsidR="003C2A9F" w:rsidRDefault="003C2A9F" w:rsidP="003C2A9F">
      <w:pPr>
        <w:rPr>
          <w:rFonts w:ascii="Arial" w:hAnsi="Arial" w:cs="Arial"/>
          <w:b/>
          <w:bCs/>
          <w:sz w:val="24"/>
          <w:szCs w:val="24"/>
        </w:rPr>
      </w:pPr>
      <w:r w:rsidRPr="003C2A9F">
        <w:rPr>
          <w:rFonts w:ascii="Arial" w:hAnsi="Arial" w:cs="Arial"/>
          <w:b/>
          <w:bCs/>
          <w:sz w:val="24"/>
          <w:szCs w:val="24"/>
        </w:rPr>
        <w:t>Resumen (</w:t>
      </w:r>
      <w:proofErr w:type="spellStart"/>
      <w:r w:rsidRPr="003C2A9F">
        <w:rPr>
          <w:rFonts w:ascii="Arial" w:hAnsi="Arial" w:cs="Arial"/>
          <w:b/>
          <w:bCs/>
          <w:sz w:val="24"/>
          <w:szCs w:val="24"/>
        </w:rPr>
        <w:t>Abstract</w:t>
      </w:r>
      <w:proofErr w:type="spellEnd"/>
      <w:r w:rsidRPr="003C2A9F">
        <w:rPr>
          <w:rFonts w:ascii="Arial" w:hAnsi="Arial" w:cs="Arial"/>
          <w:b/>
          <w:bCs/>
          <w:sz w:val="24"/>
          <w:szCs w:val="24"/>
        </w:rPr>
        <w:t xml:space="preserve"> en español)</w:t>
      </w:r>
    </w:p>
    <w:p w14:paraId="5EF1F8C1" w14:textId="7A735F9E" w:rsidR="00846990" w:rsidRPr="00846990" w:rsidRDefault="00846990" w:rsidP="00846990">
      <w:pPr>
        <w:jc w:val="both"/>
        <w:rPr>
          <w:rFonts w:ascii="Arial" w:hAnsi="Arial" w:cs="Arial"/>
          <w:sz w:val="24"/>
          <w:szCs w:val="24"/>
        </w:rPr>
      </w:pPr>
      <w:r w:rsidRPr="00846990">
        <w:rPr>
          <w:rFonts w:ascii="Arial" w:hAnsi="Arial" w:cs="Arial"/>
          <w:sz w:val="24"/>
          <w:szCs w:val="24"/>
        </w:rPr>
        <w:t xml:space="preserve">El delito de tráfico de influencias, regulado en el artículo 400° del Código Penal peruano, representa una de las manifestaciones más frecuentes de corrupción en nuestro país. Pese a su gravedad, su práctica ha sido normalizada en diversos ámbitos sociales e institucionales. El presente </w:t>
      </w:r>
      <w:r>
        <w:rPr>
          <w:rFonts w:ascii="Arial" w:hAnsi="Arial" w:cs="Arial"/>
          <w:sz w:val="24"/>
          <w:szCs w:val="24"/>
        </w:rPr>
        <w:t>articulo</w:t>
      </w:r>
      <w:r w:rsidRPr="00846990">
        <w:rPr>
          <w:rFonts w:ascii="Arial" w:hAnsi="Arial" w:cs="Arial"/>
          <w:sz w:val="24"/>
          <w:szCs w:val="24"/>
        </w:rPr>
        <w:t xml:space="preserve"> examina la conducta delictiva tanto del intermediario como del interesado, a la luz del IX Pleno Jurisdiccional Penal – Acuerdo Plenario N.º 3-2015/CIJ-116, el cual uniformiza criterios respecto a la punibilidad del tráfico de influencias, incluyendo su modalidad simulada. Este acuerdo establece que el tipo penal sanciona una conducta de mera actividad, por lo que basta con el ofrecimiento, promesa o entrega de un beneficio, independientemente de que la influencia sea real o inexistente. En tal sentido, se reconoce la responsabilidad penal del interesado, incluso cuando es víctima de un engaño, reafirmando el objetivo del derecho </w:t>
      </w:r>
      <w:r w:rsidRPr="00846990">
        <w:rPr>
          <w:rFonts w:ascii="Arial" w:hAnsi="Arial" w:cs="Arial"/>
          <w:sz w:val="24"/>
          <w:szCs w:val="24"/>
        </w:rPr>
        <w:lastRenderedPageBreak/>
        <w:t>penal de proteger la probidad administrativa y prevenir la corrupción en todas sus formas.</w:t>
      </w:r>
    </w:p>
    <w:p w14:paraId="02EC7A63" w14:textId="1A53877D" w:rsidR="003C2A9F" w:rsidRPr="009510B5" w:rsidRDefault="003C2A9F" w:rsidP="003C2A9F">
      <w:pPr>
        <w:rPr>
          <w:rFonts w:ascii="Arial" w:hAnsi="Arial" w:cs="Arial"/>
          <w:b/>
          <w:bCs/>
          <w:sz w:val="24"/>
          <w:szCs w:val="24"/>
          <w:lang w:val="en-US"/>
        </w:rPr>
      </w:pPr>
      <w:r w:rsidRPr="009510B5">
        <w:rPr>
          <w:rFonts w:ascii="Arial" w:hAnsi="Arial" w:cs="Arial"/>
          <w:b/>
          <w:bCs/>
          <w:sz w:val="24"/>
          <w:szCs w:val="24"/>
          <w:lang w:val="en-US"/>
        </w:rPr>
        <w:t>Abstract (</w:t>
      </w:r>
      <w:proofErr w:type="spellStart"/>
      <w:r w:rsidRPr="009510B5">
        <w:rPr>
          <w:rFonts w:ascii="Arial" w:hAnsi="Arial" w:cs="Arial"/>
          <w:b/>
          <w:bCs/>
          <w:sz w:val="24"/>
          <w:szCs w:val="24"/>
          <w:lang w:val="en-US"/>
        </w:rPr>
        <w:t>en</w:t>
      </w:r>
      <w:proofErr w:type="spellEnd"/>
      <w:r w:rsidRPr="009510B5">
        <w:rPr>
          <w:rFonts w:ascii="Arial" w:hAnsi="Arial" w:cs="Arial"/>
          <w:b/>
          <w:bCs/>
          <w:sz w:val="24"/>
          <w:szCs w:val="24"/>
          <w:lang w:val="en-US"/>
        </w:rPr>
        <w:t xml:space="preserve"> </w:t>
      </w:r>
      <w:proofErr w:type="spellStart"/>
      <w:r w:rsidRPr="009510B5">
        <w:rPr>
          <w:rFonts w:ascii="Arial" w:hAnsi="Arial" w:cs="Arial"/>
          <w:b/>
          <w:bCs/>
          <w:sz w:val="24"/>
          <w:szCs w:val="24"/>
          <w:lang w:val="en-US"/>
        </w:rPr>
        <w:t>inglés</w:t>
      </w:r>
      <w:proofErr w:type="spellEnd"/>
      <w:r w:rsidRPr="009510B5">
        <w:rPr>
          <w:rFonts w:ascii="Arial" w:hAnsi="Arial" w:cs="Arial"/>
          <w:b/>
          <w:bCs/>
          <w:sz w:val="24"/>
          <w:szCs w:val="24"/>
          <w:lang w:val="en-US"/>
        </w:rPr>
        <w:t>)</w:t>
      </w:r>
    </w:p>
    <w:p w14:paraId="11817C83" w14:textId="6FBFF843" w:rsidR="00846990" w:rsidRPr="009510B5" w:rsidRDefault="00846990" w:rsidP="00846990">
      <w:pPr>
        <w:jc w:val="both"/>
        <w:rPr>
          <w:rFonts w:ascii="Arial" w:hAnsi="Arial" w:cs="Arial"/>
          <w:sz w:val="24"/>
          <w:szCs w:val="24"/>
          <w:lang w:val="en-US"/>
        </w:rPr>
      </w:pPr>
      <w:r w:rsidRPr="009510B5">
        <w:rPr>
          <w:rFonts w:ascii="Arial" w:hAnsi="Arial" w:cs="Arial"/>
          <w:sz w:val="24"/>
          <w:szCs w:val="24"/>
          <w:lang w:val="en-US"/>
        </w:rPr>
        <w:t xml:space="preserve">The crime of influence peddling, regulated in Article 400 of the Peruvian Penal Code, represents one of the most frequent manifestations of corruption in our country. Despite its seriousness, its practice has been normalized in various social and institutional spheres. This report examines the criminal conduct of both the intermediary and the interested party, in light of the IX Plenary Session of Criminal Jurisdiction – Plenary Agreement No. 3-2015/CIJ-116, which standardizes criteria regarding the </w:t>
      </w:r>
      <w:proofErr w:type="spellStart"/>
      <w:r w:rsidRPr="009510B5">
        <w:rPr>
          <w:rFonts w:ascii="Arial" w:hAnsi="Arial" w:cs="Arial"/>
          <w:sz w:val="24"/>
          <w:szCs w:val="24"/>
          <w:lang w:val="en-US"/>
        </w:rPr>
        <w:t>punishability</w:t>
      </w:r>
      <w:proofErr w:type="spellEnd"/>
      <w:r w:rsidRPr="009510B5">
        <w:rPr>
          <w:rFonts w:ascii="Arial" w:hAnsi="Arial" w:cs="Arial"/>
          <w:sz w:val="24"/>
          <w:szCs w:val="24"/>
          <w:lang w:val="en-US"/>
        </w:rPr>
        <w:t xml:space="preserve"> of influence peddling, including its simulated form. This agreement establishes that the criminal offense punishes mere activity; therefore, the offer, promise, or delivery of a benefit is sufficient, regardless of whether the influence is real or nonexistent. In this regard, the criminal liability of the interested party is recognized, even when they are the victim of deception, reaffirming the objective of criminal law to protect administrative integrity and prevent corruption in all its forms.</w:t>
      </w:r>
    </w:p>
    <w:p w14:paraId="38F32726" w14:textId="77777777" w:rsidR="00846990" w:rsidRPr="00846990" w:rsidRDefault="00846990" w:rsidP="00846990">
      <w:pPr>
        <w:rPr>
          <w:rFonts w:ascii="Arial" w:hAnsi="Arial" w:cs="Arial"/>
          <w:sz w:val="24"/>
          <w:szCs w:val="24"/>
        </w:rPr>
      </w:pPr>
      <w:r w:rsidRPr="00846990">
        <w:rPr>
          <w:rFonts w:ascii="Arial" w:hAnsi="Arial" w:cs="Arial"/>
          <w:b/>
          <w:bCs/>
          <w:sz w:val="24"/>
          <w:szCs w:val="24"/>
        </w:rPr>
        <w:t xml:space="preserve">Palabras clave: </w:t>
      </w:r>
      <w:r w:rsidRPr="00846990">
        <w:rPr>
          <w:rFonts w:ascii="Arial" w:hAnsi="Arial" w:cs="Arial"/>
          <w:sz w:val="24"/>
          <w:szCs w:val="24"/>
        </w:rPr>
        <w:t>Tráfico de influencias, influencia simulada, punibilidad, responsabilidad penal.</w:t>
      </w:r>
    </w:p>
    <w:p w14:paraId="3C5DB076" w14:textId="77777777" w:rsidR="00846990" w:rsidRPr="009510B5" w:rsidRDefault="00846990" w:rsidP="00846990">
      <w:pPr>
        <w:rPr>
          <w:rFonts w:ascii="Arial" w:hAnsi="Arial" w:cs="Arial"/>
          <w:b/>
          <w:bCs/>
          <w:sz w:val="24"/>
          <w:szCs w:val="24"/>
          <w:lang w:val="en-US"/>
        </w:rPr>
      </w:pPr>
      <w:r w:rsidRPr="009510B5">
        <w:rPr>
          <w:rFonts w:ascii="Arial" w:hAnsi="Arial" w:cs="Arial"/>
          <w:b/>
          <w:bCs/>
          <w:sz w:val="24"/>
          <w:szCs w:val="24"/>
          <w:lang w:val="en-US"/>
        </w:rPr>
        <w:t xml:space="preserve">Keywords:  </w:t>
      </w:r>
      <w:r w:rsidRPr="009510B5">
        <w:rPr>
          <w:rFonts w:ascii="Arial" w:hAnsi="Arial" w:cs="Arial"/>
          <w:sz w:val="24"/>
          <w:szCs w:val="24"/>
          <w:lang w:val="en-US"/>
        </w:rPr>
        <w:t xml:space="preserve">Influence peddling, simulated influence, </w:t>
      </w:r>
      <w:proofErr w:type="spellStart"/>
      <w:r w:rsidRPr="009510B5">
        <w:rPr>
          <w:rFonts w:ascii="Arial" w:hAnsi="Arial" w:cs="Arial"/>
          <w:sz w:val="24"/>
          <w:szCs w:val="24"/>
          <w:lang w:val="en-US"/>
        </w:rPr>
        <w:t>punishability</w:t>
      </w:r>
      <w:proofErr w:type="spellEnd"/>
      <w:r w:rsidRPr="009510B5">
        <w:rPr>
          <w:rFonts w:ascii="Arial" w:hAnsi="Arial" w:cs="Arial"/>
          <w:sz w:val="24"/>
          <w:szCs w:val="24"/>
          <w:lang w:val="en-US"/>
        </w:rPr>
        <w:t>, criminal liability.</w:t>
      </w:r>
    </w:p>
    <w:p w14:paraId="5B0BCAA9" w14:textId="5FD4F423" w:rsidR="00846990" w:rsidRPr="009510B5" w:rsidRDefault="00846990" w:rsidP="00846990">
      <w:pPr>
        <w:rPr>
          <w:rFonts w:ascii="Arial" w:hAnsi="Arial" w:cs="Arial"/>
          <w:b/>
          <w:bCs/>
          <w:sz w:val="24"/>
          <w:szCs w:val="24"/>
          <w:lang w:val="en-US"/>
        </w:rPr>
      </w:pPr>
    </w:p>
    <w:p w14:paraId="07A6C8FF" w14:textId="24798FCB" w:rsidR="00846990" w:rsidRPr="009510B5" w:rsidRDefault="00846990" w:rsidP="00846990">
      <w:pPr>
        <w:rPr>
          <w:rFonts w:ascii="Arial" w:hAnsi="Arial" w:cs="Arial"/>
          <w:b/>
          <w:bCs/>
          <w:sz w:val="24"/>
          <w:szCs w:val="24"/>
          <w:lang w:val="en-US"/>
        </w:rPr>
      </w:pPr>
    </w:p>
    <w:p w14:paraId="668E1837" w14:textId="7443DC08" w:rsidR="00846990" w:rsidRPr="009510B5" w:rsidRDefault="00846990" w:rsidP="00846990">
      <w:pPr>
        <w:rPr>
          <w:rFonts w:ascii="Arial" w:hAnsi="Arial" w:cs="Arial"/>
          <w:b/>
          <w:bCs/>
          <w:sz w:val="24"/>
          <w:szCs w:val="24"/>
          <w:lang w:val="en-US"/>
        </w:rPr>
      </w:pPr>
    </w:p>
    <w:p w14:paraId="6A5D07E1" w14:textId="77777777" w:rsidR="00846990" w:rsidRPr="009510B5" w:rsidRDefault="00846990" w:rsidP="00846990">
      <w:pPr>
        <w:rPr>
          <w:rFonts w:ascii="Arial" w:hAnsi="Arial" w:cs="Arial"/>
          <w:b/>
          <w:bCs/>
          <w:sz w:val="24"/>
          <w:szCs w:val="24"/>
          <w:lang w:val="en-US"/>
        </w:rPr>
      </w:pPr>
    </w:p>
    <w:p w14:paraId="001584EC" w14:textId="6195745E" w:rsidR="003C2A9F" w:rsidRPr="00846990" w:rsidRDefault="003C2A9F" w:rsidP="00846990">
      <w:pPr>
        <w:pStyle w:val="Prrafodelista"/>
        <w:numPr>
          <w:ilvl w:val="0"/>
          <w:numId w:val="7"/>
        </w:numPr>
        <w:rPr>
          <w:rFonts w:ascii="Arial" w:hAnsi="Arial" w:cs="Arial"/>
          <w:b/>
          <w:bCs/>
          <w:sz w:val="24"/>
          <w:szCs w:val="24"/>
        </w:rPr>
      </w:pPr>
      <w:r w:rsidRPr="00846990">
        <w:rPr>
          <w:rFonts w:ascii="Arial" w:hAnsi="Arial" w:cs="Arial"/>
          <w:b/>
          <w:bCs/>
          <w:sz w:val="24"/>
          <w:szCs w:val="24"/>
        </w:rPr>
        <w:t>Introducción</w:t>
      </w:r>
    </w:p>
    <w:p w14:paraId="22291134" w14:textId="1DEF8406" w:rsidR="00846990" w:rsidRDefault="00846990" w:rsidP="00846990">
      <w:pPr>
        <w:pStyle w:val="Prrafodelista"/>
        <w:ind w:left="360"/>
        <w:jc w:val="both"/>
        <w:rPr>
          <w:rFonts w:ascii="Arial" w:hAnsi="Arial" w:cs="Arial"/>
          <w:sz w:val="24"/>
          <w:szCs w:val="24"/>
        </w:rPr>
      </w:pPr>
      <w:r w:rsidRPr="00846990">
        <w:rPr>
          <w:rFonts w:ascii="Arial" w:hAnsi="Arial" w:cs="Arial"/>
          <w:sz w:val="24"/>
          <w:szCs w:val="24"/>
        </w:rPr>
        <w:t xml:space="preserve">El presente </w:t>
      </w:r>
      <w:r>
        <w:rPr>
          <w:rFonts w:ascii="Arial" w:hAnsi="Arial" w:cs="Arial"/>
          <w:sz w:val="24"/>
          <w:szCs w:val="24"/>
        </w:rPr>
        <w:t>artículo</w:t>
      </w:r>
      <w:r w:rsidRPr="00846990">
        <w:rPr>
          <w:rFonts w:ascii="Arial" w:hAnsi="Arial" w:cs="Arial"/>
          <w:sz w:val="24"/>
          <w:szCs w:val="24"/>
        </w:rPr>
        <w:t xml:space="preserve"> tiene por finalidad analizar los criterios jurisprudenciales establecidos en el IX Pleno Jurisdiccional Penal Supremo, contenido en el Acuerdo Plenario N.º 3-2015/CIJ-116. Este acuerdo aborda el tratamiento jurídico del delito de tráfico de influencias, particularmente en su modalidad de influencias simuladas, así como la responsabilidad penal del denominado “interesado”, es decir, el sujeto que ofrece o entrega dinero o dádivas con la expectativa de obtener un beneficio indebido a través de la supuesta intermediación de un tercero. Este fenómeno se caracteriza por la explotación de las relaciones personales y la obtención de beneficios a través de diversas formas de influencia, que pueden estar tanto relacionadas con el ámbito público como con el privado.</w:t>
      </w:r>
    </w:p>
    <w:p w14:paraId="08A89082" w14:textId="77777777" w:rsidR="00846990" w:rsidRPr="00846990" w:rsidRDefault="00846990" w:rsidP="00846990">
      <w:pPr>
        <w:pStyle w:val="Prrafodelista"/>
        <w:ind w:left="360"/>
        <w:jc w:val="both"/>
        <w:rPr>
          <w:rFonts w:ascii="Arial" w:hAnsi="Arial" w:cs="Arial"/>
          <w:sz w:val="24"/>
          <w:szCs w:val="24"/>
        </w:rPr>
      </w:pPr>
    </w:p>
    <w:p w14:paraId="1C85CECF" w14:textId="45BC72CA" w:rsidR="00846990" w:rsidRDefault="00846990" w:rsidP="00846990">
      <w:pPr>
        <w:pStyle w:val="Prrafodelista"/>
        <w:ind w:left="360"/>
        <w:jc w:val="both"/>
        <w:rPr>
          <w:rFonts w:ascii="Arial" w:hAnsi="Arial" w:cs="Arial"/>
          <w:sz w:val="24"/>
          <w:szCs w:val="24"/>
        </w:rPr>
      </w:pPr>
      <w:r w:rsidRPr="00846990">
        <w:rPr>
          <w:rFonts w:ascii="Arial" w:hAnsi="Arial" w:cs="Arial"/>
          <w:sz w:val="24"/>
          <w:szCs w:val="24"/>
        </w:rPr>
        <w:t>La problemática del tráfico de influencias se torna más sutil y a menudo se presenta camuflada dentro de prácticas que, a simple vista, pueden parecer legítimas. Sin embargo, en muchos casos subyace una familiaridad con la corrupción, donde la línea entre lo legal e ilegal se diluye.</w:t>
      </w:r>
    </w:p>
    <w:p w14:paraId="698C85A0" w14:textId="77777777" w:rsidR="00846990" w:rsidRPr="00846990" w:rsidRDefault="00846990" w:rsidP="00846990">
      <w:pPr>
        <w:pStyle w:val="Prrafodelista"/>
        <w:ind w:left="360"/>
        <w:jc w:val="both"/>
        <w:rPr>
          <w:rFonts w:ascii="Arial" w:hAnsi="Arial" w:cs="Arial"/>
          <w:sz w:val="24"/>
          <w:szCs w:val="24"/>
        </w:rPr>
      </w:pPr>
    </w:p>
    <w:p w14:paraId="7E0C13A2" w14:textId="1BAB1C07" w:rsidR="003C2A9F" w:rsidRDefault="00846990" w:rsidP="00846990">
      <w:pPr>
        <w:pStyle w:val="Prrafodelista"/>
        <w:ind w:left="360"/>
        <w:jc w:val="both"/>
        <w:rPr>
          <w:rFonts w:ascii="Arial" w:hAnsi="Arial" w:cs="Arial"/>
          <w:sz w:val="24"/>
          <w:szCs w:val="24"/>
        </w:rPr>
      </w:pPr>
      <w:r w:rsidRPr="00846990">
        <w:rPr>
          <w:rFonts w:ascii="Arial" w:hAnsi="Arial" w:cs="Arial"/>
          <w:sz w:val="24"/>
          <w:szCs w:val="24"/>
        </w:rPr>
        <w:lastRenderedPageBreak/>
        <w:t xml:space="preserve">El presente </w:t>
      </w:r>
      <w:r>
        <w:rPr>
          <w:rFonts w:ascii="Arial" w:hAnsi="Arial" w:cs="Arial"/>
          <w:sz w:val="24"/>
          <w:szCs w:val="24"/>
        </w:rPr>
        <w:t>artículo</w:t>
      </w:r>
      <w:r w:rsidRPr="00846990">
        <w:rPr>
          <w:rFonts w:ascii="Arial" w:hAnsi="Arial" w:cs="Arial"/>
          <w:sz w:val="24"/>
          <w:szCs w:val="24"/>
        </w:rPr>
        <w:t>, analizará la legitimidad de castigar penalmente a quien simula influencias o solicita una conducta basada en falsedades, basada en el Acuerdo Plenario arriba mencionado, donde menciona que este delito no requiere que el resultado se produzca, basta la conducta de tráfico o simulación, ya que, también es punible porque afecta la confianza pública y la imagen de la administración, lo que se sanciona es la apariencia corrupta y el daño a la función pública, debiendo estar presente el dolo.</w:t>
      </w:r>
    </w:p>
    <w:p w14:paraId="60BC01E4" w14:textId="27A16677" w:rsidR="00846990" w:rsidRDefault="00846990" w:rsidP="00846990">
      <w:pPr>
        <w:pStyle w:val="Prrafodelista"/>
        <w:ind w:left="360"/>
        <w:rPr>
          <w:rFonts w:ascii="Arial" w:hAnsi="Arial" w:cs="Arial"/>
          <w:sz w:val="24"/>
          <w:szCs w:val="24"/>
        </w:rPr>
      </w:pPr>
    </w:p>
    <w:p w14:paraId="75E4A683" w14:textId="77777777" w:rsidR="00846990" w:rsidRDefault="00846990" w:rsidP="00846990">
      <w:pPr>
        <w:pStyle w:val="Prrafodelista"/>
        <w:ind w:left="360"/>
        <w:rPr>
          <w:rFonts w:ascii="Arial" w:hAnsi="Arial" w:cs="Arial"/>
          <w:sz w:val="24"/>
          <w:szCs w:val="24"/>
        </w:rPr>
      </w:pPr>
    </w:p>
    <w:p w14:paraId="49D44217" w14:textId="5A352134" w:rsidR="003C2A9F" w:rsidRDefault="003C2A9F" w:rsidP="00846990">
      <w:pPr>
        <w:pStyle w:val="Prrafodelista"/>
        <w:numPr>
          <w:ilvl w:val="0"/>
          <w:numId w:val="7"/>
        </w:numPr>
        <w:rPr>
          <w:rFonts w:ascii="Arial" w:hAnsi="Arial" w:cs="Arial"/>
          <w:b/>
          <w:bCs/>
          <w:sz w:val="24"/>
          <w:szCs w:val="24"/>
        </w:rPr>
      </w:pPr>
      <w:r w:rsidRPr="00846990">
        <w:rPr>
          <w:rFonts w:ascii="Arial" w:hAnsi="Arial" w:cs="Arial"/>
          <w:b/>
          <w:bCs/>
          <w:sz w:val="24"/>
          <w:szCs w:val="24"/>
        </w:rPr>
        <w:t>Fundamentos del Acuerdo Plenario N.º 3-2015/CIJ-116</w:t>
      </w:r>
    </w:p>
    <w:p w14:paraId="20FBF6C6" w14:textId="77777777" w:rsidR="00846990" w:rsidRPr="00846990" w:rsidRDefault="00846990" w:rsidP="00846990">
      <w:pPr>
        <w:pStyle w:val="Prrafodelista"/>
        <w:ind w:left="360"/>
        <w:jc w:val="both"/>
        <w:rPr>
          <w:rFonts w:ascii="Arial" w:hAnsi="Arial" w:cs="Arial"/>
          <w:sz w:val="24"/>
          <w:szCs w:val="24"/>
        </w:rPr>
      </w:pPr>
      <w:r w:rsidRPr="00846990">
        <w:rPr>
          <w:rFonts w:ascii="Arial" w:hAnsi="Arial" w:cs="Arial"/>
          <w:sz w:val="24"/>
          <w:szCs w:val="24"/>
        </w:rPr>
        <w:t>El IX Pleno Jurisdiccional de las Salas Penales del Tribunal Supremo (conmemorado en 2015) se llevó a cabo en tres fases.</w:t>
      </w:r>
    </w:p>
    <w:p w14:paraId="7D36C20C" w14:textId="45CD4750" w:rsidR="00846990" w:rsidRPr="00846990" w:rsidRDefault="00846990" w:rsidP="00846990">
      <w:pPr>
        <w:pStyle w:val="Prrafodelista"/>
        <w:numPr>
          <w:ilvl w:val="0"/>
          <w:numId w:val="8"/>
        </w:numPr>
        <w:jc w:val="both"/>
        <w:rPr>
          <w:rFonts w:ascii="Arial" w:hAnsi="Arial" w:cs="Arial"/>
          <w:sz w:val="24"/>
          <w:szCs w:val="24"/>
        </w:rPr>
      </w:pPr>
      <w:r w:rsidRPr="00846990">
        <w:rPr>
          <w:rFonts w:ascii="Arial" w:hAnsi="Arial" w:cs="Arial"/>
          <w:sz w:val="24"/>
          <w:szCs w:val="24"/>
        </w:rPr>
        <w:t>Convocatoria para la participación ciudadana y la presentación de ponencias.</w:t>
      </w:r>
    </w:p>
    <w:p w14:paraId="38BF4870" w14:textId="3546A231" w:rsidR="00846990" w:rsidRPr="00846990" w:rsidRDefault="00846990" w:rsidP="00846990">
      <w:pPr>
        <w:pStyle w:val="Prrafodelista"/>
        <w:numPr>
          <w:ilvl w:val="0"/>
          <w:numId w:val="8"/>
        </w:numPr>
        <w:jc w:val="both"/>
        <w:rPr>
          <w:rFonts w:ascii="Arial" w:hAnsi="Arial" w:cs="Arial"/>
          <w:sz w:val="24"/>
          <w:szCs w:val="24"/>
        </w:rPr>
      </w:pPr>
      <w:r w:rsidRPr="00846990">
        <w:rPr>
          <w:rFonts w:ascii="Arial" w:hAnsi="Arial" w:cs="Arial"/>
          <w:sz w:val="24"/>
          <w:szCs w:val="24"/>
        </w:rPr>
        <w:t>Presentación pública con especialistas.</w:t>
      </w:r>
    </w:p>
    <w:p w14:paraId="1D4AB0C1" w14:textId="23A13DB5" w:rsidR="00846990" w:rsidRPr="00846990" w:rsidRDefault="00846990" w:rsidP="00846990">
      <w:pPr>
        <w:pStyle w:val="Prrafodelista"/>
        <w:numPr>
          <w:ilvl w:val="0"/>
          <w:numId w:val="8"/>
        </w:numPr>
        <w:jc w:val="both"/>
        <w:rPr>
          <w:rFonts w:ascii="Arial" w:hAnsi="Arial" w:cs="Arial"/>
          <w:sz w:val="24"/>
          <w:szCs w:val="24"/>
        </w:rPr>
      </w:pPr>
      <w:r w:rsidRPr="00846990">
        <w:rPr>
          <w:rFonts w:ascii="Arial" w:hAnsi="Arial" w:cs="Arial"/>
          <w:sz w:val="24"/>
          <w:szCs w:val="24"/>
        </w:rPr>
        <w:t>Debate y voto, finalizando con el consenso.</w:t>
      </w:r>
    </w:p>
    <w:p w14:paraId="58CF6BA4" w14:textId="77777777" w:rsidR="00846990" w:rsidRDefault="00846990" w:rsidP="00846990">
      <w:pPr>
        <w:pStyle w:val="Prrafodelista"/>
        <w:ind w:left="360"/>
        <w:jc w:val="both"/>
        <w:rPr>
          <w:rFonts w:ascii="Arial" w:hAnsi="Arial" w:cs="Arial"/>
          <w:sz w:val="24"/>
          <w:szCs w:val="24"/>
        </w:rPr>
      </w:pPr>
    </w:p>
    <w:p w14:paraId="556B9B34" w14:textId="1B745436" w:rsidR="00846990" w:rsidRPr="00846990" w:rsidRDefault="00846990" w:rsidP="00846990">
      <w:pPr>
        <w:pStyle w:val="Prrafodelista"/>
        <w:ind w:left="360"/>
        <w:jc w:val="both"/>
        <w:rPr>
          <w:rFonts w:ascii="Arial" w:hAnsi="Arial" w:cs="Arial"/>
          <w:sz w:val="24"/>
          <w:szCs w:val="24"/>
        </w:rPr>
      </w:pPr>
      <w:r w:rsidRPr="00846990">
        <w:rPr>
          <w:rFonts w:ascii="Arial" w:hAnsi="Arial" w:cs="Arial"/>
          <w:sz w:val="24"/>
          <w:szCs w:val="24"/>
        </w:rPr>
        <w:t>La meta fue homogeneizar opiniones acerca de dos asuntos de controversia:</w:t>
      </w:r>
    </w:p>
    <w:p w14:paraId="1C2DF17C" w14:textId="6DDF6193" w:rsidR="00846990" w:rsidRPr="00846990" w:rsidRDefault="00846990" w:rsidP="00846990">
      <w:pPr>
        <w:pStyle w:val="Prrafodelista"/>
        <w:numPr>
          <w:ilvl w:val="0"/>
          <w:numId w:val="9"/>
        </w:numPr>
        <w:jc w:val="both"/>
        <w:rPr>
          <w:rFonts w:ascii="Arial" w:hAnsi="Arial" w:cs="Arial"/>
          <w:sz w:val="24"/>
          <w:szCs w:val="24"/>
        </w:rPr>
      </w:pPr>
      <w:r w:rsidRPr="00846990">
        <w:rPr>
          <w:rFonts w:ascii="Arial" w:hAnsi="Arial" w:cs="Arial"/>
          <w:sz w:val="24"/>
          <w:szCs w:val="24"/>
        </w:rPr>
        <w:t>Involucramiento del tercero implicado en el crimen.</w:t>
      </w:r>
    </w:p>
    <w:p w14:paraId="2995E27D" w14:textId="0E029B6E" w:rsidR="00846990" w:rsidRPr="00846990" w:rsidRDefault="00846990" w:rsidP="00846990">
      <w:pPr>
        <w:pStyle w:val="Prrafodelista"/>
        <w:numPr>
          <w:ilvl w:val="0"/>
          <w:numId w:val="9"/>
        </w:numPr>
        <w:jc w:val="both"/>
        <w:rPr>
          <w:rFonts w:ascii="Arial" w:hAnsi="Arial" w:cs="Arial"/>
          <w:sz w:val="24"/>
          <w:szCs w:val="24"/>
        </w:rPr>
      </w:pPr>
      <w:r w:rsidRPr="00846990">
        <w:rPr>
          <w:rFonts w:ascii="Arial" w:hAnsi="Arial" w:cs="Arial"/>
          <w:sz w:val="24"/>
          <w:szCs w:val="24"/>
        </w:rPr>
        <w:t>Validez penal de los efectos simulados de influencia</w:t>
      </w:r>
    </w:p>
    <w:p w14:paraId="2D8B7DD5" w14:textId="77777777" w:rsidR="00846990" w:rsidRDefault="00846990" w:rsidP="00846990">
      <w:pPr>
        <w:pStyle w:val="Prrafodelista"/>
        <w:ind w:left="360"/>
        <w:jc w:val="both"/>
        <w:rPr>
          <w:rFonts w:ascii="Arial" w:hAnsi="Arial" w:cs="Arial"/>
          <w:sz w:val="24"/>
          <w:szCs w:val="24"/>
        </w:rPr>
      </w:pPr>
    </w:p>
    <w:p w14:paraId="761E90FA" w14:textId="48137565" w:rsidR="00846990" w:rsidRPr="00846990" w:rsidRDefault="00846990" w:rsidP="00846990">
      <w:pPr>
        <w:pStyle w:val="Prrafodelista"/>
        <w:ind w:left="360"/>
        <w:jc w:val="both"/>
        <w:rPr>
          <w:rFonts w:ascii="Arial" w:hAnsi="Arial" w:cs="Arial"/>
          <w:sz w:val="24"/>
          <w:szCs w:val="24"/>
        </w:rPr>
      </w:pPr>
      <w:r w:rsidRPr="00846990">
        <w:rPr>
          <w:rFonts w:ascii="Arial" w:hAnsi="Arial" w:cs="Arial"/>
          <w:sz w:val="24"/>
          <w:szCs w:val="24"/>
        </w:rPr>
        <w:t>¿Qué son las influencias simuladas en el contexto del tráfico de influencias?</w:t>
      </w:r>
    </w:p>
    <w:p w14:paraId="1D992C38" w14:textId="77777777" w:rsidR="00846990" w:rsidRDefault="00846990" w:rsidP="00846990">
      <w:pPr>
        <w:pStyle w:val="Prrafodelista"/>
        <w:ind w:left="360"/>
        <w:jc w:val="both"/>
        <w:rPr>
          <w:rFonts w:ascii="Arial" w:hAnsi="Arial" w:cs="Arial"/>
          <w:sz w:val="24"/>
          <w:szCs w:val="24"/>
        </w:rPr>
      </w:pPr>
    </w:p>
    <w:p w14:paraId="0DACB02C" w14:textId="5B671B8F" w:rsidR="00846990" w:rsidRPr="00846990" w:rsidRDefault="00846990" w:rsidP="00846990">
      <w:pPr>
        <w:pStyle w:val="Prrafodelista"/>
        <w:ind w:left="360"/>
        <w:jc w:val="both"/>
        <w:rPr>
          <w:rFonts w:ascii="Arial" w:hAnsi="Arial" w:cs="Arial"/>
          <w:sz w:val="24"/>
          <w:szCs w:val="24"/>
        </w:rPr>
      </w:pPr>
      <w:r w:rsidRPr="00846990">
        <w:rPr>
          <w:rFonts w:ascii="Arial" w:hAnsi="Arial" w:cs="Arial"/>
          <w:sz w:val="24"/>
          <w:szCs w:val="24"/>
        </w:rPr>
        <w:t xml:space="preserve">Las influencias simuladas son aquellas simuladas, aparentes o inexistentes, que un individuo emplea para persuadir o inducir a otro a conceder un beneficio (usualmente económico), a cambio de interceder ante un funcionario público o autoridad, aunque en realidad no posee la capacidad real de influir. </w:t>
      </w:r>
    </w:p>
    <w:p w14:paraId="34EF4A72" w14:textId="73B81789" w:rsidR="00846990" w:rsidRPr="00846990" w:rsidRDefault="00846990" w:rsidP="00846990">
      <w:pPr>
        <w:pStyle w:val="Prrafodelista"/>
        <w:ind w:left="360"/>
        <w:jc w:val="both"/>
        <w:rPr>
          <w:rFonts w:ascii="Arial" w:hAnsi="Arial" w:cs="Arial"/>
          <w:sz w:val="24"/>
          <w:szCs w:val="24"/>
        </w:rPr>
      </w:pPr>
      <w:r w:rsidRPr="00846990">
        <w:rPr>
          <w:rFonts w:ascii="Arial" w:hAnsi="Arial" w:cs="Arial"/>
          <w:sz w:val="24"/>
          <w:szCs w:val="24"/>
        </w:rPr>
        <w:t>El Artículo 400 CP reconoce expresamente las influencias simuladas, castigándose de la misma manera que las reales. Se trata de una amplia salvaguarda del bienestar legal de la administración</w:t>
      </w:r>
      <w:r>
        <w:rPr>
          <w:rFonts w:ascii="Arial" w:hAnsi="Arial" w:cs="Arial"/>
          <w:sz w:val="24"/>
          <w:szCs w:val="24"/>
        </w:rPr>
        <w:t>.</w:t>
      </w:r>
    </w:p>
    <w:p w14:paraId="3E3AE035" w14:textId="77777777" w:rsidR="00846990" w:rsidRDefault="00846990" w:rsidP="00846990">
      <w:pPr>
        <w:pStyle w:val="Prrafodelista"/>
        <w:ind w:left="360"/>
        <w:jc w:val="both"/>
        <w:rPr>
          <w:rFonts w:ascii="Arial" w:hAnsi="Arial" w:cs="Arial"/>
          <w:sz w:val="24"/>
          <w:szCs w:val="24"/>
        </w:rPr>
      </w:pPr>
    </w:p>
    <w:p w14:paraId="5B07D5AC" w14:textId="18423012" w:rsidR="00846990" w:rsidRPr="00846990" w:rsidRDefault="00846990" w:rsidP="00846990">
      <w:pPr>
        <w:pStyle w:val="Prrafodelista"/>
        <w:ind w:left="360"/>
        <w:jc w:val="both"/>
        <w:rPr>
          <w:rFonts w:ascii="Arial" w:hAnsi="Arial" w:cs="Arial"/>
          <w:sz w:val="24"/>
          <w:szCs w:val="24"/>
        </w:rPr>
      </w:pPr>
      <w:r w:rsidRPr="00846990">
        <w:rPr>
          <w:rFonts w:ascii="Arial" w:hAnsi="Arial" w:cs="Arial"/>
          <w:sz w:val="24"/>
          <w:szCs w:val="24"/>
        </w:rPr>
        <w:t>El Acuerdo Plenario establece y valida la sanción de las influencias simuladas como forma de tráfico de influencias, fundamentándose en:</w:t>
      </w:r>
    </w:p>
    <w:p w14:paraId="569D14A7" w14:textId="4221FDBC" w:rsidR="00846990" w:rsidRPr="00846990" w:rsidRDefault="00846990" w:rsidP="00846990">
      <w:pPr>
        <w:pStyle w:val="Prrafodelista"/>
        <w:numPr>
          <w:ilvl w:val="0"/>
          <w:numId w:val="10"/>
        </w:numPr>
        <w:jc w:val="both"/>
        <w:rPr>
          <w:rFonts w:ascii="Arial" w:hAnsi="Arial" w:cs="Arial"/>
          <w:sz w:val="24"/>
          <w:szCs w:val="24"/>
        </w:rPr>
      </w:pPr>
      <w:r w:rsidRPr="00846990">
        <w:rPr>
          <w:rFonts w:ascii="Arial" w:hAnsi="Arial" w:cs="Arial"/>
          <w:sz w:val="24"/>
          <w:szCs w:val="24"/>
        </w:rPr>
        <w:t>La simulación como un riesgo adecuado para impactar la confianza en la gestión.</w:t>
      </w:r>
    </w:p>
    <w:p w14:paraId="632E3D75" w14:textId="4E6793CC" w:rsidR="00846990" w:rsidRPr="00846990" w:rsidRDefault="00846990" w:rsidP="00846990">
      <w:pPr>
        <w:pStyle w:val="Prrafodelista"/>
        <w:numPr>
          <w:ilvl w:val="0"/>
          <w:numId w:val="10"/>
        </w:numPr>
        <w:jc w:val="both"/>
        <w:rPr>
          <w:rFonts w:ascii="Arial" w:hAnsi="Arial" w:cs="Arial"/>
          <w:sz w:val="24"/>
          <w:szCs w:val="24"/>
        </w:rPr>
      </w:pPr>
      <w:r w:rsidRPr="00846990">
        <w:rPr>
          <w:rFonts w:ascii="Arial" w:hAnsi="Arial" w:cs="Arial"/>
          <w:sz w:val="24"/>
          <w:szCs w:val="24"/>
        </w:rPr>
        <w:t>La atención particular con la implicación del interesado, limitada a la instigación.</w:t>
      </w:r>
    </w:p>
    <w:p w14:paraId="7E98EE88" w14:textId="4E42E175" w:rsidR="00846990" w:rsidRDefault="00846990" w:rsidP="00846990">
      <w:pPr>
        <w:pStyle w:val="Prrafodelista"/>
        <w:numPr>
          <w:ilvl w:val="0"/>
          <w:numId w:val="10"/>
        </w:numPr>
        <w:jc w:val="both"/>
        <w:rPr>
          <w:rFonts w:ascii="Arial" w:hAnsi="Arial" w:cs="Arial"/>
          <w:sz w:val="24"/>
          <w:szCs w:val="24"/>
        </w:rPr>
      </w:pPr>
      <w:r w:rsidRPr="00846990">
        <w:rPr>
          <w:rFonts w:ascii="Arial" w:hAnsi="Arial" w:cs="Arial"/>
          <w:sz w:val="24"/>
          <w:szCs w:val="24"/>
        </w:rPr>
        <w:t>Apoyo al principio de que la mera invocación de influencia falsa basta para el reproche penal, al menos en términos de reputación y confianza pública "influenciar penalmente irrelevante", sugerido por Caro Coria, presenta una crítica ponderada al enfoque expansivo del Art. 400 CP</w:t>
      </w:r>
      <w:r>
        <w:rPr>
          <w:rFonts w:ascii="Arial" w:hAnsi="Arial" w:cs="Arial"/>
          <w:sz w:val="24"/>
          <w:szCs w:val="24"/>
        </w:rPr>
        <w:t>:</w:t>
      </w:r>
    </w:p>
    <w:p w14:paraId="4C03D5CF" w14:textId="600FFE49" w:rsidR="00846990" w:rsidRPr="00846990" w:rsidRDefault="00846990" w:rsidP="00846990">
      <w:pPr>
        <w:pStyle w:val="Prrafodelista"/>
        <w:numPr>
          <w:ilvl w:val="0"/>
          <w:numId w:val="11"/>
        </w:numPr>
        <w:jc w:val="both"/>
        <w:rPr>
          <w:rFonts w:ascii="Arial" w:hAnsi="Arial" w:cs="Arial"/>
          <w:sz w:val="24"/>
          <w:szCs w:val="24"/>
        </w:rPr>
      </w:pPr>
      <w:r w:rsidRPr="00846990">
        <w:rPr>
          <w:rFonts w:ascii="Arial" w:hAnsi="Arial" w:cs="Arial"/>
          <w:sz w:val="24"/>
          <w:szCs w:val="24"/>
        </w:rPr>
        <w:t>Simulaciones no perjudiciales, que deben ser excluidas del campo penal.</w:t>
      </w:r>
    </w:p>
    <w:p w14:paraId="4A2E5086" w14:textId="6079136F" w:rsidR="00846990" w:rsidRPr="00846990" w:rsidRDefault="00846990" w:rsidP="00846990">
      <w:pPr>
        <w:pStyle w:val="Prrafodelista"/>
        <w:numPr>
          <w:ilvl w:val="0"/>
          <w:numId w:val="11"/>
        </w:numPr>
        <w:jc w:val="both"/>
        <w:rPr>
          <w:rFonts w:ascii="Arial" w:hAnsi="Arial" w:cs="Arial"/>
          <w:sz w:val="24"/>
          <w:szCs w:val="24"/>
        </w:rPr>
      </w:pPr>
      <w:r w:rsidRPr="00846990">
        <w:rPr>
          <w:rFonts w:ascii="Arial" w:hAnsi="Arial" w:cs="Arial"/>
          <w:sz w:val="24"/>
          <w:szCs w:val="24"/>
        </w:rPr>
        <w:t>Simulaciones con un verdadero riesgo institucional, que sí podrían ser penalizadas.</w:t>
      </w:r>
    </w:p>
    <w:p w14:paraId="7F83AE16" w14:textId="77777777" w:rsidR="00846990" w:rsidRDefault="00846990" w:rsidP="00846990">
      <w:pPr>
        <w:pStyle w:val="Prrafodelista"/>
        <w:ind w:left="360"/>
        <w:jc w:val="both"/>
        <w:rPr>
          <w:rFonts w:ascii="Arial" w:hAnsi="Arial" w:cs="Arial"/>
          <w:sz w:val="24"/>
          <w:szCs w:val="24"/>
        </w:rPr>
      </w:pPr>
    </w:p>
    <w:p w14:paraId="6DD3F4DA" w14:textId="79BA6C76" w:rsidR="00846990" w:rsidRDefault="00846990" w:rsidP="00846990">
      <w:pPr>
        <w:pStyle w:val="Prrafodelista"/>
        <w:ind w:left="360"/>
        <w:jc w:val="both"/>
        <w:rPr>
          <w:rFonts w:ascii="Arial" w:hAnsi="Arial" w:cs="Arial"/>
          <w:sz w:val="24"/>
          <w:szCs w:val="24"/>
        </w:rPr>
      </w:pPr>
      <w:r w:rsidRPr="00846990">
        <w:rPr>
          <w:rFonts w:ascii="Arial" w:hAnsi="Arial" w:cs="Arial"/>
          <w:sz w:val="24"/>
          <w:szCs w:val="24"/>
        </w:rPr>
        <w:t>En España y Argentina, la mera influencia simulada no es penalizada. Ambas jurisdicciones sólo exigen:</w:t>
      </w:r>
    </w:p>
    <w:p w14:paraId="7FDFEF69" w14:textId="77777777" w:rsidR="00846990" w:rsidRPr="00846990" w:rsidRDefault="00846990" w:rsidP="00846990">
      <w:pPr>
        <w:pStyle w:val="Prrafodelista"/>
        <w:ind w:left="360"/>
        <w:jc w:val="both"/>
        <w:rPr>
          <w:rFonts w:ascii="Arial" w:hAnsi="Arial" w:cs="Arial"/>
          <w:sz w:val="24"/>
          <w:szCs w:val="24"/>
        </w:rPr>
      </w:pPr>
    </w:p>
    <w:p w14:paraId="776536AB" w14:textId="799E1CD0" w:rsidR="00846990" w:rsidRPr="00846990" w:rsidRDefault="00846990" w:rsidP="00846990">
      <w:pPr>
        <w:pStyle w:val="Prrafodelista"/>
        <w:numPr>
          <w:ilvl w:val="0"/>
          <w:numId w:val="12"/>
        </w:numPr>
        <w:ind w:left="720"/>
        <w:jc w:val="both"/>
        <w:rPr>
          <w:rFonts w:ascii="Arial" w:hAnsi="Arial" w:cs="Arial"/>
          <w:sz w:val="24"/>
          <w:szCs w:val="24"/>
        </w:rPr>
      </w:pPr>
      <w:r w:rsidRPr="00846990">
        <w:rPr>
          <w:rFonts w:ascii="Arial" w:hAnsi="Arial" w:cs="Arial"/>
          <w:sz w:val="24"/>
          <w:szCs w:val="24"/>
        </w:rPr>
        <w:t>España: evidencia de una auténtica presión moral y un vínculo personal eficaz.</w:t>
      </w:r>
    </w:p>
    <w:p w14:paraId="00EF387C" w14:textId="1502CC27" w:rsidR="00846990" w:rsidRDefault="00846990" w:rsidP="00846990">
      <w:pPr>
        <w:pStyle w:val="Prrafodelista"/>
        <w:numPr>
          <w:ilvl w:val="0"/>
          <w:numId w:val="12"/>
        </w:numPr>
        <w:ind w:left="720"/>
        <w:jc w:val="both"/>
        <w:rPr>
          <w:rFonts w:ascii="Arial" w:hAnsi="Arial" w:cs="Arial"/>
          <w:sz w:val="24"/>
          <w:szCs w:val="24"/>
        </w:rPr>
      </w:pPr>
      <w:r w:rsidRPr="00846990">
        <w:rPr>
          <w:rFonts w:ascii="Arial" w:hAnsi="Arial" w:cs="Arial"/>
          <w:sz w:val="24"/>
          <w:szCs w:val="24"/>
        </w:rPr>
        <w:t>Argentina: presencia de una auténtica habilidad para influir y representar un riesgo institucional palpable.</w:t>
      </w:r>
    </w:p>
    <w:p w14:paraId="275EB6A2" w14:textId="77777777" w:rsidR="00846990" w:rsidRPr="00846990" w:rsidRDefault="00846990" w:rsidP="00846990">
      <w:pPr>
        <w:pStyle w:val="Prrafodelista"/>
        <w:ind w:left="0"/>
        <w:jc w:val="both"/>
        <w:rPr>
          <w:rFonts w:ascii="Arial" w:hAnsi="Arial" w:cs="Arial"/>
          <w:sz w:val="24"/>
          <w:szCs w:val="24"/>
        </w:rPr>
      </w:pPr>
    </w:p>
    <w:p w14:paraId="745691FC" w14:textId="0AA9794D" w:rsidR="00846990" w:rsidRDefault="00846990" w:rsidP="00846990">
      <w:pPr>
        <w:pStyle w:val="Prrafodelista"/>
        <w:ind w:left="360"/>
        <w:jc w:val="both"/>
        <w:rPr>
          <w:rFonts w:ascii="Arial" w:hAnsi="Arial" w:cs="Arial"/>
          <w:sz w:val="24"/>
          <w:szCs w:val="24"/>
        </w:rPr>
      </w:pPr>
      <w:r w:rsidRPr="00846990">
        <w:rPr>
          <w:rFonts w:ascii="Arial" w:hAnsi="Arial" w:cs="Arial"/>
          <w:sz w:val="24"/>
          <w:szCs w:val="24"/>
        </w:rPr>
        <w:t xml:space="preserve">Esto difiere del enfoque peruano, donde el Acuerdo Plenario </w:t>
      </w:r>
      <w:proofErr w:type="spellStart"/>
      <w:r w:rsidRPr="00846990">
        <w:rPr>
          <w:rFonts w:ascii="Arial" w:hAnsi="Arial" w:cs="Arial"/>
          <w:sz w:val="24"/>
          <w:szCs w:val="24"/>
        </w:rPr>
        <w:t>N°</w:t>
      </w:r>
      <w:proofErr w:type="spellEnd"/>
      <w:r w:rsidRPr="00846990">
        <w:rPr>
          <w:rFonts w:ascii="Arial" w:hAnsi="Arial" w:cs="Arial"/>
          <w:sz w:val="24"/>
          <w:szCs w:val="24"/>
        </w:rPr>
        <w:t xml:space="preserve"> 3 2015/CIJ 116 autoriza la penalización de la influencia simulada como delito de peligro abstracto, sin requerir una eficacia auténtica.</w:t>
      </w:r>
    </w:p>
    <w:p w14:paraId="229F2F9A" w14:textId="77777777" w:rsidR="00846990" w:rsidRPr="00846990" w:rsidRDefault="00846990" w:rsidP="00846990">
      <w:pPr>
        <w:pStyle w:val="Prrafodelista"/>
        <w:ind w:left="360"/>
        <w:jc w:val="both"/>
        <w:rPr>
          <w:rFonts w:ascii="Arial" w:hAnsi="Arial" w:cs="Arial"/>
          <w:sz w:val="24"/>
          <w:szCs w:val="24"/>
        </w:rPr>
      </w:pPr>
    </w:p>
    <w:p w14:paraId="382B5F71" w14:textId="77777777" w:rsidR="00846990" w:rsidRPr="00846990" w:rsidRDefault="00846990" w:rsidP="00846990">
      <w:pPr>
        <w:pStyle w:val="Prrafodelista"/>
        <w:ind w:left="360"/>
        <w:jc w:val="both"/>
        <w:rPr>
          <w:rFonts w:ascii="Arial" w:hAnsi="Arial" w:cs="Arial"/>
          <w:sz w:val="24"/>
          <w:szCs w:val="24"/>
        </w:rPr>
      </w:pPr>
      <w:r w:rsidRPr="00846990">
        <w:rPr>
          <w:rFonts w:ascii="Arial" w:hAnsi="Arial" w:cs="Arial"/>
          <w:sz w:val="24"/>
          <w:szCs w:val="24"/>
        </w:rPr>
        <w:t xml:space="preserve">El Acuerdo Plenario </w:t>
      </w:r>
      <w:proofErr w:type="spellStart"/>
      <w:r w:rsidRPr="00846990">
        <w:rPr>
          <w:rFonts w:ascii="Arial" w:hAnsi="Arial" w:cs="Arial"/>
          <w:sz w:val="24"/>
          <w:szCs w:val="24"/>
        </w:rPr>
        <w:t>N°</w:t>
      </w:r>
      <w:proofErr w:type="spellEnd"/>
      <w:r w:rsidRPr="00846990">
        <w:rPr>
          <w:rFonts w:ascii="Arial" w:hAnsi="Arial" w:cs="Arial"/>
          <w:sz w:val="24"/>
          <w:szCs w:val="24"/>
        </w:rPr>
        <w:t xml:space="preserve"> 3-2015/CIJ-116 emitido por la Corte Suprema de Perú establece una distinción relevante entre:</w:t>
      </w:r>
    </w:p>
    <w:p w14:paraId="72F950D5" w14:textId="7B06DF9A" w:rsidR="00846990" w:rsidRPr="00846990" w:rsidRDefault="00846990" w:rsidP="00846990">
      <w:pPr>
        <w:pStyle w:val="Prrafodelista"/>
        <w:numPr>
          <w:ilvl w:val="0"/>
          <w:numId w:val="13"/>
        </w:numPr>
        <w:jc w:val="both"/>
        <w:rPr>
          <w:rFonts w:ascii="Arial" w:hAnsi="Arial" w:cs="Arial"/>
          <w:sz w:val="24"/>
          <w:szCs w:val="24"/>
        </w:rPr>
      </w:pPr>
      <w:r w:rsidRPr="00846990">
        <w:rPr>
          <w:rFonts w:ascii="Arial" w:hAnsi="Arial" w:cs="Arial"/>
          <w:sz w:val="24"/>
          <w:szCs w:val="24"/>
        </w:rPr>
        <w:t>Tráfico de influencias real (tipo): cuando realmente hay una habilidad para influir en un cargo público y se negocia dicha intervención.</w:t>
      </w:r>
    </w:p>
    <w:p w14:paraId="619EF2F6" w14:textId="2B6A7C6C" w:rsidR="00846990" w:rsidRPr="00846990" w:rsidRDefault="00846990" w:rsidP="00846990">
      <w:pPr>
        <w:pStyle w:val="Prrafodelista"/>
        <w:numPr>
          <w:ilvl w:val="0"/>
          <w:numId w:val="13"/>
        </w:numPr>
        <w:jc w:val="both"/>
        <w:rPr>
          <w:rFonts w:ascii="Arial" w:hAnsi="Arial" w:cs="Arial"/>
          <w:sz w:val="24"/>
          <w:szCs w:val="24"/>
        </w:rPr>
      </w:pPr>
      <w:r w:rsidRPr="00846990">
        <w:rPr>
          <w:rFonts w:ascii="Arial" w:hAnsi="Arial" w:cs="Arial"/>
          <w:sz w:val="24"/>
          <w:szCs w:val="24"/>
        </w:rPr>
        <w:t>Tráfico de influencias simulado o ausente (atípico): cuando se muestra una relación o habilidad para influir, pero esta no se encuentra en la realidad.</w:t>
      </w:r>
    </w:p>
    <w:p w14:paraId="29DBC3AD" w14:textId="5943E118" w:rsidR="00846990" w:rsidRDefault="00846990" w:rsidP="00846990">
      <w:pPr>
        <w:pStyle w:val="Prrafodelista"/>
        <w:ind w:left="360"/>
        <w:jc w:val="both"/>
        <w:rPr>
          <w:rFonts w:ascii="Arial" w:hAnsi="Arial" w:cs="Arial"/>
          <w:sz w:val="24"/>
          <w:szCs w:val="24"/>
        </w:rPr>
      </w:pPr>
      <w:r w:rsidRPr="00846990">
        <w:rPr>
          <w:rFonts w:ascii="Arial" w:hAnsi="Arial" w:cs="Arial"/>
          <w:sz w:val="24"/>
          <w:szCs w:val="24"/>
        </w:rPr>
        <w:t>El Convenio establece que: "La provisión de una influencia que no existe, o que es simulada, puede generar una simulación delictiva, pero no necesariamente el delito de tráfico de influencias", dado que este último demanda una oportunidad auténtica de influir.</w:t>
      </w:r>
    </w:p>
    <w:p w14:paraId="1C1F3122" w14:textId="77777777" w:rsidR="00846990" w:rsidRPr="00846990" w:rsidRDefault="00846990" w:rsidP="00846990">
      <w:pPr>
        <w:pStyle w:val="Prrafodelista"/>
        <w:ind w:left="360"/>
        <w:jc w:val="both"/>
        <w:rPr>
          <w:rFonts w:ascii="Arial" w:hAnsi="Arial" w:cs="Arial"/>
          <w:sz w:val="24"/>
          <w:szCs w:val="24"/>
        </w:rPr>
      </w:pPr>
    </w:p>
    <w:p w14:paraId="6EEE846F" w14:textId="73ACAFE7" w:rsidR="00846990" w:rsidRPr="00846990" w:rsidRDefault="00846990" w:rsidP="00846990">
      <w:pPr>
        <w:pStyle w:val="Prrafodelista"/>
        <w:ind w:left="360"/>
        <w:jc w:val="both"/>
        <w:rPr>
          <w:rFonts w:ascii="Arial" w:hAnsi="Arial" w:cs="Arial"/>
          <w:sz w:val="24"/>
          <w:szCs w:val="24"/>
        </w:rPr>
      </w:pPr>
      <w:r w:rsidRPr="00846990">
        <w:rPr>
          <w:rFonts w:ascii="Arial" w:hAnsi="Arial" w:cs="Arial"/>
          <w:sz w:val="24"/>
          <w:szCs w:val="24"/>
        </w:rPr>
        <w:t>Influencia simulada como elemento clave para diferenciar delitos</w:t>
      </w:r>
      <w:r>
        <w:rPr>
          <w:rFonts w:ascii="Arial" w:hAnsi="Arial" w:cs="Arial"/>
          <w:sz w:val="24"/>
          <w:szCs w:val="24"/>
        </w:rPr>
        <w:t>:</w:t>
      </w:r>
    </w:p>
    <w:p w14:paraId="4F5B8631" w14:textId="4E8415EF" w:rsidR="00846990" w:rsidRPr="00846990" w:rsidRDefault="00846990" w:rsidP="00846990">
      <w:pPr>
        <w:pStyle w:val="Prrafodelista"/>
        <w:numPr>
          <w:ilvl w:val="0"/>
          <w:numId w:val="14"/>
        </w:numPr>
        <w:jc w:val="both"/>
        <w:rPr>
          <w:rFonts w:ascii="Arial" w:hAnsi="Arial" w:cs="Arial"/>
          <w:sz w:val="24"/>
          <w:szCs w:val="24"/>
        </w:rPr>
      </w:pPr>
      <w:r w:rsidRPr="00846990">
        <w:rPr>
          <w:rFonts w:ascii="Arial" w:hAnsi="Arial" w:cs="Arial"/>
          <w:sz w:val="24"/>
          <w:szCs w:val="24"/>
        </w:rPr>
        <w:t>Realmente existía: el habitual tráfico de influencias (art. 400 del Código Penal de Perú).</w:t>
      </w:r>
    </w:p>
    <w:p w14:paraId="0537E6FD" w14:textId="0E0A8B5F" w:rsidR="00846990" w:rsidRPr="00846990" w:rsidRDefault="00846990" w:rsidP="00846990">
      <w:pPr>
        <w:pStyle w:val="Prrafodelista"/>
        <w:numPr>
          <w:ilvl w:val="0"/>
          <w:numId w:val="14"/>
        </w:numPr>
        <w:jc w:val="both"/>
        <w:rPr>
          <w:rFonts w:ascii="Arial" w:hAnsi="Arial" w:cs="Arial"/>
          <w:sz w:val="24"/>
          <w:szCs w:val="24"/>
        </w:rPr>
      </w:pPr>
      <w:r w:rsidRPr="00846990">
        <w:rPr>
          <w:rFonts w:ascii="Arial" w:hAnsi="Arial" w:cs="Arial"/>
          <w:sz w:val="24"/>
          <w:szCs w:val="24"/>
        </w:rPr>
        <w:t>No existía, pero parecía: podría representar tentativa inidónea, engaño ilícito o estafa, pero no tráfico de influencias en términos rigurosos.</w:t>
      </w:r>
    </w:p>
    <w:p w14:paraId="4CA51B93" w14:textId="77777777" w:rsidR="00846990" w:rsidRPr="00846990" w:rsidRDefault="00846990" w:rsidP="00846990">
      <w:pPr>
        <w:pStyle w:val="Prrafodelista"/>
        <w:numPr>
          <w:ilvl w:val="0"/>
          <w:numId w:val="14"/>
        </w:numPr>
        <w:jc w:val="both"/>
        <w:rPr>
          <w:rFonts w:ascii="Arial" w:hAnsi="Arial" w:cs="Arial"/>
          <w:sz w:val="24"/>
          <w:szCs w:val="24"/>
        </w:rPr>
      </w:pPr>
      <w:r w:rsidRPr="00846990">
        <w:rPr>
          <w:rFonts w:ascii="Arial" w:hAnsi="Arial" w:cs="Arial"/>
          <w:sz w:val="24"/>
          <w:szCs w:val="24"/>
        </w:rPr>
        <w:t>Implementación esencial en tu evaluación del Acuerdo Plenario</w:t>
      </w:r>
    </w:p>
    <w:p w14:paraId="751FC1EC" w14:textId="04D6D6C2" w:rsidR="00846990" w:rsidRPr="00846990" w:rsidRDefault="00846990" w:rsidP="00846990">
      <w:pPr>
        <w:pStyle w:val="Prrafodelista"/>
        <w:numPr>
          <w:ilvl w:val="0"/>
          <w:numId w:val="14"/>
        </w:numPr>
        <w:jc w:val="both"/>
        <w:rPr>
          <w:rFonts w:ascii="Arial" w:hAnsi="Arial" w:cs="Arial"/>
          <w:sz w:val="24"/>
          <w:szCs w:val="24"/>
        </w:rPr>
      </w:pPr>
      <w:r w:rsidRPr="00846990">
        <w:rPr>
          <w:rFonts w:ascii="Arial" w:hAnsi="Arial" w:cs="Arial"/>
          <w:sz w:val="24"/>
          <w:szCs w:val="24"/>
        </w:rPr>
        <w:t>El Acuerdo Plenario contribuye a definir el tipo penal, impidiendo que se penalice la mera simulación sin la capacidad auténtica de influir en la decisión de un oficial.</w:t>
      </w:r>
    </w:p>
    <w:p w14:paraId="267DE639" w14:textId="77777777" w:rsidR="00846990" w:rsidRDefault="00846990" w:rsidP="00846990">
      <w:pPr>
        <w:pStyle w:val="Prrafodelista"/>
        <w:numPr>
          <w:ilvl w:val="0"/>
          <w:numId w:val="14"/>
        </w:numPr>
        <w:jc w:val="both"/>
        <w:rPr>
          <w:rFonts w:ascii="Arial" w:hAnsi="Arial" w:cs="Arial"/>
          <w:sz w:val="24"/>
          <w:szCs w:val="24"/>
        </w:rPr>
      </w:pPr>
      <w:r w:rsidRPr="00846990">
        <w:rPr>
          <w:rFonts w:ascii="Arial" w:hAnsi="Arial" w:cs="Arial"/>
          <w:sz w:val="24"/>
          <w:szCs w:val="24"/>
        </w:rPr>
        <w:t>A pesar de ser moralmente reprochables, las influencias simuladas no siempre perjudican la función pública, lo que respalda su marginación del tipo penal del tráfico de influencias.</w:t>
      </w:r>
    </w:p>
    <w:p w14:paraId="5E5F6DAC" w14:textId="5644BFC6" w:rsidR="00846990" w:rsidRDefault="00846990" w:rsidP="00846990">
      <w:pPr>
        <w:pStyle w:val="Prrafodelista"/>
        <w:numPr>
          <w:ilvl w:val="0"/>
          <w:numId w:val="14"/>
        </w:numPr>
        <w:jc w:val="both"/>
        <w:rPr>
          <w:rFonts w:ascii="Arial" w:hAnsi="Arial" w:cs="Arial"/>
          <w:sz w:val="24"/>
          <w:szCs w:val="24"/>
        </w:rPr>
      </w:pPr>
      <w:r w:rsidRPr="00846990">
        <w:rPr>
          <w:rFonts w:ascii="Arial" w:hAnsi="Arial" w:cs="Arial"/>
          <w:sz w:val="24"/>
          <w:szCs w:val="24"/>
        </w:rPr>
        <w:t>Podrías sugerir que, en situaciones de influencia simulada con daño económico, se traten otras acciones como estafa, fraude, o incluso publicidad engañosa en escenarios más extensos (privados o contractuales).</w:t>
      </w:r>
    </w:p>
    <w:p w14:paraId="2D13B1D6" w14:textId="77777777" w:rsidR="00846990" w:rsidRPr="00846990" w:rsidRDefault="00846990" w:rsidP="00846990">
      <w:pPr>
        <w:pStyle w:val="Prrafodelista"/>
        <w:ind w:left="360"/>
        <w:jc w:val="both"/>
        <w:rPr>
          <w:rFonts w:ascii="Arial" w:hAnsi="Arial" w:cs="Arial"/>
          <w:sz w:val="24"/>
          <w:szCs w:val="24"/>
        </w:rPr>
      </w:pPr>
    </w:p>
    <w:p w14:paraId="0DFF51E7" w14:textId="77777777" w:rsidR="00846990" w:rsidRPr="00846990" w:rsidRDefault="00846990" w:rsidP="00846990">
      <w:pPr>
        <w:pStyle w:val="Prrafodelista"/>
        <w:ind w:left="360"/>
        <w:jc w:val="both"/>
        <w:rPr>
          <w:rFonts w:ascii="Arial" w:hAnsi="Arial" w:cs="Arial"/>
          <w:sz w:val="24"/>
          <w:szCs w:val="24"/>
        </w:rPr>
      </w:pPr>
      <w:r w:rsidRPr="00846990">
        <w:rPr>
          <w:rFonts w:ascii="Arial" w:hAnsi="Arial" w:cs="Arial"/>
          <w:sz w:val="24"/>
          <w:szCs w:val="24"/>
        </w:rPr>
        <w:t>Sugerimos en nuestro análisis lo siguiente:</w:t>
      </w:r>
    </w:p>
    <w:p w14:paraId="16F5CC68" w14:textId="7D60F06D" w:rsidR="00846990" w:rsidRPr="00846990" w:rsidRDefault="00846990" w:rsidP="00B84789">
      <w:pPr>
        <w:pStyle w:val="Prrafodelista"/>
        <w:numPr>
          <w:ilvl w:val="0"/>
          <w:numId w:val="15"/>
        </w:numPr>
        <w:jc w:val="both"/>
        <w:rPr>
          <w:rFonts w:ascii="Arial" w:hAnsi="Arial" w:cs="Arial"/>
          <w:sz w:val="24"/>
          <w:szCs w:val="24"/>
        </w:rPr>
      </w:pPr>
      <w:r w:rsidRPr="00846990">
        <w:rPr>
          <w:rFonts w:ascii="Arial" w:hAnsi="Arial" w:cs="Arial"/>
          <w:sz w:val="24"/>
          <w:szCs w:val="24"/>
        </w:rPr>
        <w:t>Centra tu crítica en la manera en que el Acuerdo Plenario balancea la prevención del fraude en la comunicación con el principio de lesividad.</w:t>
      </w:r>
    </w:p>
    <w:p w14:paraId="6EAF822D" w14:textId="38DF0638" w:rsidR="00846990" w:rsidRPr="00846990" w:rsidRDefault="00846990" w:rsidP="00B84789">
      <w:pPr>
        <w:pStyle w:val="Prrafodelista"/>
        <w:numPr>
          <w:ilvl w:val="0"/>
          <w:numId w:val="15"/>
        </w:numPr>
        <w:jc w:val="both"/>
        <w:rPr>
          <w:rFonts w:ascii="Arial" w:hAnsi="Arial" w:cs="Arial"/>
          <w:sz w:val="24"/>
          <w:szCs w:val="24"/>
        </w:rPr>
      </w:pPr>
      <w:r w:rsidRPr="00846990">
        <w:rPr>
          <w:rFonts w:ascii="Arial" w:hAnsi="Arial" w:cs="Arial"/>
          <w:sz w:val="24"/>
          <w:szCs w:val="24"/>
        </w:rPr>
        <w:lastRenderedPageBreak/>
        <w:t>Piensa en incluir una analogía con España/Argentina para fortalecer tu tesis: que los sistemas que penalizan únicamente lo que perjudica un bien jurídico poseen una mayor exactitud dogmática y proporcionalidad.</w:t>
      </w:r>
    </w:p>
    <w:p w14:paraId="43479FA2" w14:textId="5B45FDEB" w:rsidR="00846990" w:rsidRDefault="00846990" w:rsidP="00B84789">
      <w:pPr>
        <w:pStyle w:val="Prrafodelista"/>
        <w:numPr>
          <w:ilvl w:val="0"/>
          <w:numId w:val="15"/>
        </w:numPr>
        <w:jc w:val="both"/>
        <w:rPr>
          <w:rFonts w:ascii="Arial" w:hAnsi="Arial" w:cs="Arial"/>
          <w:sz w:val="24"/>
          <w:szCs w:val="24"/>
        </w:rPr>
      </w:pPr>
      <w:r w:rsidRPr="00846990">
        <w:rPr>
          <w:rFonts w:ascii="Arial" w:hAnsi="Arial" w:cs="Arial"/>
          <w:sz w:val="24"/>
          <w:szCs w:val="24"/>
        </w:rPr>
        <w:t>Analiza situaciones reales en las que se brindó influencia simulada sin capacidad real: ¿se les consideró tráfico o se les vinculó a otros delitos (estafa, cohecho impropio)?</w:t>
      </w:r>
    </w:p>
    <w:p w14:paraId="272AFFFB" w14:textId="77777777" w:rsidR="00CD2EA6" w:rsidRPr="00846990" w:rsidRDefault="00CD2EA6" w:rsidP="00CD2EA6">
      <w:pPr>
        <w:pStyle w:val="Prrafodelista"/>
        <w:jc w:val="both"/>
        <w:rPr>
          <w:rFonts w:ascii="Arial" w:hAnsi="Arial" w:cs="Arial"/>
          <w:sz w:val="24"/>
          <w:szCs w:val="24"/>
        </w:rPr>
      </w:pPr>
    </w:p>
    <w:p w14:paraId="039BCC11" w14:textId="5CA17CC6" w:rsidR="003C2A9F" w:rsidRPr="00B84789" w:rsidRDefault="003C2A9F" w:rsidP="00B84789">
      <w:pPr>
        <w:pStyle w:val="Prrafodelista"/>
        <w:numPr>
          <w:ilvl w:val="0"/>
          <w:numId w:val="7"/>
        </w:numPr>
        <w:rPr>
          <w:rFonts w:ascii="Arial" w:hAnsi="Arial" w:cs="Arial"/>
          <w:b/>
          <w:bCs/>
          <w:sz w:val="24"/>
          <w:szCs w:val="24"/>
        </w:rPr>
      </w:pPr>
      <w:r w:rsidRPr="00B84789">
        <w:rPr>
          <w:rFonts w:ascii="Arial" w:hAnsi="Arial" w:cs="Arial"/>
          <w:b/>
          <w:bCs/>
          <w:sz w:val="24"/>
          <w:szCs w:val="24"/>
        </w:rPr>
        <w:t>La participación del interesado: ¿cómplice, víctima o parte inocua?</w:t>
      </w:r>
    </w:p>
    <w:p w14:paraId="4C1F170F" w14:textId="77777777" w:rsidR="00B84789" w:rsidRDefault="00B84789" w:rsidP="00B84789">
      <w:pPr>
        <w:ind w:left="360"/>
        <w:jc w:val="both"/>
        <w:rPr>
          <w:rFonts w:ascii="Arial" w:hAnsi="Arial" w:cs="Arial"/>
          <w:sz w:val="24"/>
          <w:szCs w:val="24"/>
        </w:rPr>
      </w:pPr>
      <w:r w:rsidRPr="00B84789">
        <w:rPr>
          <w:rFonts w:ascii="Arial" w:hAnsi="Arial" w:cs="Arial"/>
          <w:sz w:val="24"/>
          <w:szCs w:val="24"/>
        </w:rPr>
        <w:t>El Acuerdo Plenario N.º 3-2015/CIJ-116 sostiene que el “interesado” en el delito de tráfico de influencias puede ser considerado partícipe del delito —como instigador o cómplice— cuando tiene conocimiento del carácter ilícito del acto y voluntariamente colabora en la gestión de influencias. Esta postura plantea interrogantes dogmáticos importantes: ¿es el interesado realmente un coautor del hecho delictivo o es, más bien, un sujeto pasivo de la conducta?</w:t>
      </w:r>
    </w:p>
    <w:p w14:paraId="4601E319" w14:textId="0B3576AC" w:rsidR="00E34D17" w:rsidRPr="00B84789" w:rsidRDefault="00E34D17" w:rsidP="00B84789">
      <w:pPr>
        <w:pStyle w:val="Prrafodelista"/>
        <w:numPr>
          <w:ilvl w:val="1"/>
          <w:numId w:val="7"/>
        </w:numPr>
        <w:rPr>
          <w:rFonts w:ascii="Arial" w:hAnsi="Arial" w:cs="Arial"/>
          <w:b/>
          <w:bCs/>
          <w:sz w:val="24"/>
          <w:szCs w:val="24"/>
        </w:rPr>
      </w:pPr>
      <w:r w:rsidRPr="00B84789">
        <w:rPr>
          <w:rFonts w:ascii="Arial" w:hAnsi="Arial" w:cs="Arial"/>
          <w:b/>
          <w:bCs/>
          <w:sz w:val="24"/>
          <w:szCs w:val="24"/>
        </w:rPr>
        <w:t>El rol del interesado en la tipicidad penal</w:t>
      </w:r>
    </w:p>
    <w:p w14:paraId="2C3517FD" w14:textId="77777777" w:rsidR="00B84789" w:rsidRPr="00B84789" w:rsidRDefault="00B84789" w:rsidP="00B84789">
      <w:pPr>
        <w:ind w:left="360"/>
        <w:jc w:val="both"/>
        <w:rPr>
          <w:rFonts w:ascii="Arial" w:hAnsi="Arial" w:cs="Arial"/>
          <w:sz w:val="24"/>
          <w:szCs w:val="24"/>
        </w:rPr>
      </w:pPr>
      <w:r w:rsidRPr="00B84789">
        <w:rPr>
          <w:rFonts w:ascii="Arial" w:hAnsi="Arial" w:cs="Arial"/>
          <w:sz w:val="24"/>
          <w:szCs w:val="24"/>
        </w:rPr>
        <w:t>El artículo 400 del Código Penal sanciona a quien “influye en un funcionario o servidor público, valiéndose de su cargo o de cualquier otra situación derivada de su relación personal o jerárquica con éste, para obtener un acto o decisión que le genere directa o indirectamente un beneficio económico”. No menciona expresamente al interesado.</w:t>
      </w:r>
    </w:p>
    <w:p w14:paraId="0BE61AEE" w14:textId="77777777" w:rsidR="00B84789" w:rsidRPr="00B84789" w:rsidRDefault="00B84789" w:rsidP="00B84789">
      <w:pPr>
        <w:ind w:left="360"/>
        <w:jc w:val="both"/>
        <w:rPr>
          <w:rFonts w:ascii="Arial" w:hAnsi="Arial" w:cs="Arial"/>
          <w:sz w:val="24"/>
          <w:szCs w:val="24"/>
        </w:rPr>
      </w:pPr>
      <w:r w:rsidRPr="00B84789">
        <w:rPr>
          <w:rFonts w:ascii="Arial" w:hAnsi="Arial" w:cs="Arial"/>
          <w:sz w:val="24"/>
          <w:szCs w:val="24"/>
        </w:rPr>
        <w:t>Desde la responsabilidad penal del interesado en el delito de tráfico de influencias Torres (2022) menciona que la sanción tanto al que ofrece como al que acepta influencias, la doctrina jurídica está dividida: algunos creen que el interesado no debe ser castigado, mientras otros sostienen que su conducta también afecta gravemente el funcionamiento ético del Estado. El autor destaca que el interesado no es un simple receptor pasivo, sino que contribuye activamente a concretar el delito. Por ello, concluye que su actuar debe ser penalmente relevante, ya que vulnera la transparencia y legitimidad de la administración pública.</w:t>
      </w:r>
    </w:p>
    <w:p w14:paraId="15A3E405" w14:textId="77777777" w:rsidR="00B84789" w:rsidRPr="00B84789" w:rsidRDefault="00B84789" w:rsidP="00B84789">
      <w:pPr>
        <w:ind w:left="360"/>
        <w:jc w:val="both"/>
        <w:rPr>
          <w:rFonts w:ascii="Arial" w:hAnsi="Arial" w:cs="Arial"/>
          <w:sz w:val="24"/>
          <w:szCs w:val="24"/>
        </w:rPr>
      </w:pPr>
      <w:r w:rsidRPr="00B84789">
        <w:rPr>
          <w:rFonts w:ascii="Arial" w:hAnsi="Arial" w:cs="Arial"/>
          <w:sz w:val="24"/>
          <w:szCs w:val="24"/>
        </w:rPr>
        <w:t xml:space="preserve">El tráfico de influencias, ya sea real o simulado, es un delito que figura en la lista de delitos de corrupción de funcionarios públicos que afectan a la administración pública según </w:t>
      </w:r>
      <w:proofErr w:type="spellStart"/>
      <w:r w:rsidRPr="00B84789">
        <w:rPr>
          <w:rFonts w:ascii="Arial" w:hAnsi="Arial" w:cs="Arial"/>
          <w:sz w:val="24"/>
          <w:szCs w:val="24"/>
        </w:rPr>
        <w:t>Túllume</w:t>
      </w:r>
      <w:proofErr w:type="spellEnd"/>
      <w:r w:rsidRPr="00B84789">
        <w:rPr>
          <w:rFonts w:ascii="Arial" w:hAnsi="Arial" w:cs="Arial"/>
          <w:sz w:val="24"/>
          <w:szCs w:val="24"/>
        </w:rPr>
        <w:t xml:space="preserve"> (2021), de conformidad con las organizaciones internacionales que abogan por la lucha contra la corrupción en el ejercicio de las funciones encomendadas por el Estado en todas sus formas, así como contra los actos de corrupción relacionados o vinculados a dicho ejercicio.</w:t>
      </w:r>
    </w:p>
    <w:p w14:paraId="57DB1806" w14:textId="4B6F5933" w:rsidR="00B84789" w:rsidRPr="00B84789" w:rsidRDefault="00B84789" w:rsidP="00B84789">
      <w:pPr>
        <w:ind w:left="360"/>
        <w:jc w:val="both"/>
        <w:rPr>
          <w:rFonts w:ascii="Arial" w:hAnsi="Arial" w:cs="Arial"/>
          <w:sz w:val="24"/>
          <w:szCs w:val="24"/>
        </w:rPr>
      </w:pPr>
      <w:r w:rsidRPr="00B84789">
        <w:rPr>
          <w:rFonts w:ascii="Arial" w:hAnsi="Arial" w:cs="Arial"/>
          <w:sz w:val="24"/>
          <w:szCs w:val="24"/>
        </w:rPr>
        <w:t>Desde esta perspectiva, el castigo del interesado debe ser excepcional y depender de si existe prueba suficiente de que conocía la ilicitud del medio utilizado y contribuyó activamente al logro del fin ilícito.</w:t>
      </w:r>
    </w:p>
    <w:p w14:paraId="25C5B93E" w14:textId="72D4F861" w:rsidR="00B84789" w:rsidRDefault="00B84789" w:rsidP="00B84789">
      <w:pPr>
        <w:pStyle w:val="Prrafodelista"/>
        <w:numPr>
          <w:ilvl w:val="1"/>
          <w:numId w:val="7"/>
        </w:numPr>
        <w:rPr>
          <w:rFonts w:ascii="Arial" w:hAnsi="Arial" w:cs="Arial"/>
          <w:b/>
          <w:bCs/>
          <w:sz w:val="24"/>
          <w:szCs w:val="24"/>
        </w:rPr>
      </w:pPr>
      <w:r w:rsidRPr="00B84789">
        <w:rPr>
          <w:rFonts w:ascii="Arial" w:hAnsi="Arial" w:cs="Arial"/>
          <w:b/>
          <w:bCs/>
          <w:sz w:val="24"/>
          <w:szCs w:val="24"/>
        </w:rPr>
        <w:t>Jurisprudencia relevante</w:t>
      </w:r>
    </w:p>
    <w:p w14:paraId="17FE0E1A" w14:textId="77777777" w:rsidR="00B84789" w:rsidRPr="00B84789" w:rsidRDefault="00B84789" w:rsidP="00B84789">
      <w:pPr>
        <w:ind w:left="360"/>
        <w:jc w:val="both"/>
        <w:rPr>
          <w:rFonts w:ascii="Arial" w:hAnsi="Arial" w:cs="Arial"/>
          <w:sz w:val="24"/>
          <w:szCs w:val="24"/>
        </w:rPr>
      </w:pPr>
      <w:r w:rsidRPr="00B84789">
        <w:rPr>
          <w:rFonts w:ascii="Arial" w:hAnsi="Arial" w:cs="Arial"/>
          <w:sz w:val="24"/>
          <w:szCs w:val="24"/>
        </w:rPr>
        <w:lastRenderedPageBreak/>
        <w:t>Según César San Martín en la Casación N.º 683-2018-Nacional, el tráfico de influencias tiene un impacto en la imparcialidad de los funcionarios públicos y en el carácter público de su labor. Por lo tanto, tanto la administración pública como el funcionario público sobre el que se ejerce la influencia son sujetos pasivos en lo que respecta a la «influencia real».  Se trata de un delito que se produce de forma instantánea y que implica una conducta simple con una tendencia y un resultado a corto plazo. Independientemente de si forma parte de un plan delictivo que da lugar a la creación de una organización delictiva, es necesaria una determinada actividad.</w:t>
      </w:r>
    </w:p>
    <w:p w14:paraId="086FCAC3" w14:textId="77777777" w:rsidR="00B84789" w:rsidRPr="00B84789" w:rsidRDefault="00B84789" w:rsidP="00B84789">
      <w:pPr>
        <w:ind w:left="360"/>
        <w:jc w:val="both"/>
        <w:rPr>
          <w:rFonts w:ascii="Arial" w:hAnsi="Arial" w:cs="Arial"/>
          <w:sz w:val="24"/>
          <w:szCs w:val="24"/>
        </w:rPr>
      </w:pPr>
      <w:r w:rsidRPr="00B84789">
        <w:rPr>
          <w:rFonts w:ascii="Arial" w:hAnsi="Arial" w:cs="Arial"/>
          <w:sz w:val="24"/>
          <w:szCs w:val="24"/>
        </w:rPr>
        <w:t>Sin embargo, el Acuerdo Plenario N.º 3-2015/CIJ-116 rompe esta línea y establece que si el interesado tiene conciencia de que está participando en una gestión ilícita y aun así colabora (por ejemplo, entregando dinero o facilitando el acceso al funcionario), entonces su conducta es típicamente penal. Esto, no obstante, ha sido criticado por ampliar la intervención penal a conductas ambiguas o difícilmente comprobables.</w:t>
      </w:r>
    </w:p>
    <w:p w14:paraId="43C2455D" w14:textId="77777777" w:rsidR="00B84789" w:rsidRPr="00B84789" w:rsidRDefault="00B84789" w:rsidP="00B84789">
      <w:pPr>
        <w:ind w:left="360"/>
        <w:jc w:val="both"/>
        <w:rPr>
          <w:rFonts w:ascii="Arial" w:hAnsi="Arial" w:cs="Arial"/>
          <w:sz w:val="24"/>
          <w:szCs w:val="24"/>
        </w:rPr>
      </w:pPr>
      <w:r w:rsidRPr="00B84789">
        <w:rPr>
          <w:rFonts w:ascii="Arial" w:hAnsi="Arial" w:cs="Arial"/>
          <w:sz w:val="24"/>
          <w:szCs w:val="24"/>
        </w:rPr>
        <w:t xml:space="preserve">Ahora bien, la Casación </w:t>
      </w:r>
      <w:proofErr w:type="spellStart"/>
      <w:r w:rsidRPr="00B84789">
        <w:rPr>
          <w:rFonts w:ascii="Arial" w:hAnsi="Arial" w:cs="Arial"/>
          <w:sz w:val="24"/>
          <w:szCs w:val="24"/>
        </w:rPr>
        <w:t>N.°</w:t>
      </w:r>
      <w:proofErr w:type="spellEnd"/>
      <w:r w:rsidRPr="00B84789">
        <w:rPr>
          <w:rFonts w:ascii="Arial" w:hAnsi="Arial" w:cs="Arial"/>
          <w:sz w:val="24"/>
          <w:szCs w:val="24"/>
        </w:rPr>
        <w:t xml:space="preserve"> 374-2015 LIMA analiza la figura del "interesado" en el delito de tráfico de influencias simuladas, destacando que su rol es determinante para configurar la tipicidad penal. El abogado imputado, Aurelio Pastor Valdivieso, actuó como intermediario al invocar influencias ficticias ante funcionarios públicos (como el Presidente del Jurado Nacional de Elecciones y un Fiscal Supremo), prometiendo a su cliente (la alcaldesa de Tocache, Corina de la Cruz Yupanqui) interceder para dilatar procesos judiciales y obtener resoluciones favorables a cambio de dinero. La tipicidad penal se configura cuando el interesado participa activamente en este circuito ilícito, validando la simulación de influencias mediante su demanda y retribución económica. El fallo enfatiza que tales acciones trascienden el ejercicio legítimo de la abogacía y constituyen un ataque a la administración pública.</w:t>
      </w:r>
    </w:p>
    <w:p w14:paraId="6F49A87B" w14:textId="0EEBCA8E" w:rsidR="00B84789" w:rsidRPr="00B84789" w:rsidRDefault="00B84789" w:rsidP="00B84789">
      <w:pPr>
        <w:ind w:left="360"/>
        <w:jc w:val="both"/>
        <w:rPr>
          <w:rFonts w:ascii="Arial" w:hAnsi="Arial" w:cs="Arial"/>
          <w:sz w:val="24"/>
          <w:szCs w:val="24"/>
        </w:rPr>
      </w:pPr>
      <w:r w:rsidRPr="00B84789">
        <w:rPr>
          <w:rFonts w:ascii="Arial" w:hAnsi="Arial" w:cs="Arial"/>
          <w:sz w:val="24"/>
          <w:szCs w:val="24"/>
        </w:rPr>
        <w:t xml:space="preserve">Por último, pero no menos importante, la sentencia del Tribunal Constitucional </w:t>
      </w:r>
      <w:proofErr w:type="spellStart"/>
      <w:r w:rsidRPr="00B84789">
        <w:rPr>
          <w:rFonts w:ascii="Arial" w:hAnsi="Arial" w:cs="Arial"/>
          <w:sz w:val="24"/>
          <w:szCs w:val="24"/>
        </w:rPr>
        <w:t>Exp</w:t>
      </w:r>
      <w:proofErr w:type="spellEnd"/>
      <w:r w:rsidRPr="00B84789">
        <w:rPr>
          <w:rFonts w:ascii="Arial" w:hAnsi="Arial" w:cs="Arial"/>
          <w:sz w:val="24"/>
          <w:szCs w:val="24"/>
        </w:rPr>
        <w:t>. 00228-2017-PHC/TC, destaca que las sentencias impugnadas no lograron articular el delito de tráfico de influencias porque, a pesar de mencionar las llamadas telefónicas del beneficiario, faltaba un componente del delito relacionado con el pago o la promesa de recibir, dar o prometer; es decir, los medios de corrupción (donación, promesa o cualquier otra ventaja y la oferta de algo). Estas resoluciones no justifican adecuadamente el delito de tráfico de influencias.</w:t>
      </w:r>
    </w:p>
    <w:p w14:paraId="26365C31" w14:textId="3F4D858E" w:rsidR="00B84789" w:rsidRDefault="00B84789" w:rsidP="00B84789">
      <w:pPr>
        <w:pStyle w:val="Prrafodelista"/>
        <w:numPr>
          <w:ilvl w:val="1"/>
          <w:numId w:val="7"/>
        </w:numPr>
        <w:rPr>
          <w:rFonts w:ascii="Arial" w:hAnsi="Arial" w:cs="Arial"/>
          <w:b/>
          <w:bCs/>
          <w:sz w:val="24"/>
          <w:szCs w:val="24"/>
        </w:rPr>
      </w:pPr>
      <w:r w:rsidRPr="00B84789">
        <w:rPr>
          <w:rFonts w:ascii="Arial" w:hAnsi="Arial" w:cs="Arial"/>
          <w:b/>
          <w:bCs/>
          <w:sz w:val="24"/>
          <w:szCs w:val="24"/>
        </w:rPr>
        <w:t>Valoración crítica</w:t>
      </w:r>
    </w:p>
    <w:p w14:paraId="062424F0" w14:textId="77777777" w:rsidR="00B84789" w:rsidRPr="00B84789" w:rsidRDefault="00B84789" w:rsidP="00B84789">
      <w:pPr>
        <w:ind w:left="360"/>
        <w:jc w:val="both"/>
        <w:rPr>
          <w:rFonts w:ascii="Arial" w:hAnsi="Arial" w:cs="Arial"/>
          <w:sz w:val="24"/>
          <w:szCs w:val="24"/>
        </w:rPr>
      </w:pPr>
      <w:r w:rsidRPr="00B84789">
        <w:rPr>
          <w:rFonts w:ascii="Arial" w:hAnsi="Arial" w:cs="Arial"/>
          <w:sz w:val="24"/>
          <w:szCs w:val="24"/>
        </w:rPr>
        <w:t xml:space="preserve">La interpretación restrictiva de este elemento por parte de los tribunales ha limitado excesivamente el alcance del tipo penal, generando situaciones de impunidad. Los autores sostienen que esta limitación permite que muchos actos de tráfico de influencias queden fuera del reproche penal si no están directamente vinculados a un caso judicial o administrativo formalmente calificado como tal. Por ello, proponen que el delito debería abarcar cualquier asunto público en el que un funcionario decida con margen de </w:t>
      </w:r>
      <w:r w:rsidRPr="00B84789">
        <w:rPr>
          <w:rFonts w:ascii="Arial" w:hAnsi="Arial" w:cs="Arial"/>
          <w:sz w:val="24"/>
          <w:szCs w:val="24"/>
        </w:rPr>
        <w:lastRenderedPageBreak/>
        <w:t xml:space="preserve">discrecionalidad, y no solo aquellos estrictamente judiciales o administrativos. De esta forma, se lograría una política criminal más efectiva contra la corrupción, en línea con los compromisos internacionales asumidos por el Perú </w:t>
      </w:r>
      <w:proofErr w:type="spellStart"/>
      <w:r w:rsidRPr="00B84789">
        <w:rPr>
          <w:rFonts w:ascii="Arial" w:hAnsi="Arial" w:cs="Arial"/>
          <w:sz w:val="24"/>
          <w:szCs w:val="24"/>
        </w:rPr>
        <w:t>Chanjan</w:t>
      </w:r>
      <w:proofErr w:type="spellEnd"/>
      <w:r w:rsidRPr="00B84789">
        <w:rPr>
          <w:rFonts w:ascii="Arial" w:hAnsi="Arial" w:cs="Arial"/>
          <w:sz w:val="24"/>
          <w:szCs w:val="24"/>
        </w:rPr>
        <w:t xml:space="preserve"> et al. (2020).</w:t>
      </w:r>
    </w:p>
    <w:p w14:paraId="38C4B8DB" w14:textId="55371632" w:rsidR="00CD2EA6" w:rsidRDefault="00B84789" w:rsidP="00CD2EA6">
      <w:pPr>
        <w:ind w:left="360"/>
        <w:jc w:val="both"/>
        <w:rPr>
          <w:rFonts w:ascii="Arial" w:hAnsi="Arial" w:cs="Arial"/>
          <w:sz w:val="24"/>
          <w:szCs w:val="24"/>
        </w:rPr>
      </w:pPr>
      <w:r w:rsidRPr="00B84789">
        <w:rPr>
          <w:rFonts w:ascii="Arial" w:hAnsi="Arial" w:cs="Arial"/>
          <w:sz w:val="24"/>
          <w:szCs w:val="24"/>
        </w:rPr>
        <w:t>En ese contexto, Cerna (2020) señala que existe una insuficiente claridad en la definición y protección del bien jurídico tutelado. Se cuestiona que la jurisprudencia y parte de la doctrina minimicen la relevancia del acto simulado, lo que puede debilitar la efectividad de la sanción penal. Además, se sostiene que el bien jurídico central es el prestigio y la buena imagen de la administración pública, vinculados al correcto funcionamiento institucional. Por ello, se defiende la necesidad de mantener la criminalización de esta modalidad para preservar la integridad del sistema público y evitar la legitimación de actos corruptos disfrazados. En suma, el trabajo aboga por un enfoque dogmático más riguroso que fortalezca la política criminal contra la corrupción en el Perú.</w:t>
      </w:r>
    </w:p>
    <w:p w14:paraId="3D5B60CB" w14:textId="3E48B751" w:rsidR="00CD2EA6" w:rsidRDefault="00CD2EA6" w:rsidP="00CD2EA6">
      <w:pPr>
        <w:pStyle w:val="Prrafodelista"/>
        <w:numPr>
          <w:ilvl w:val="0"/>
          <w:numId w:val="7"/>
        </w:numPr>
        <w:jc w:val="both"/>
        <w:rPr>
          <w:rFonts w:ascii="Arial" w:hAnsi="Arial" w:cs="Arial"/>
          <w:b/>
          <w:bCs/>
          <w:sz w:val="24"/>
          <w:szCs w:val="24"/>
        </w:rPr>
      </w:pPr>
      <w:r w:rsidRPr="00CD2EA6">
        <w:rPr>
          <w:rFonts w:ascii="Arial" w:hAnsi="Arial" w:cs="Arial"/>
          <w:b/>
          <w:bCs/>
          <w:sz w:val="24"/>
          <w:szCs w:val="24"/>
        </w:rPr>
        <w:t>Análisis crítico y postura interpretativa.</w:t>
      </w:r>
    </w:p>
    <w:p w14:paraId="36C4C737" w14:textId="4828A38B" w:rsidR="00CD2EA6" w:rsidRDefault="00CD2EA6" w:rsidP="00CD2EA6">
      <w:pPr>
        <w:pStyle w:val="Prrafodelista"/>
        <w:numPr>
          <w:ilvl w:val="1"/>
          <w:numId w:val="7"/>
        </w:numPr>
        <w:jc w:val="both"/>
        <w:rPr>
          <w:rFonts w:ascii="Arial" w:hAnsi="Arial" w:cs="Arial"/>
          <w:b/>
          <w:bCs/>
          <w:sz w:val="24"/>
          <w:szCs w:val="24"/>
        </w:rPr>
      </w:pPr>
      <w:r w:rsidRPr="00CD2EA6">
        <w:rPr>
          <w:rFonts w:ascii="Arial" w:hAnsi="Arial" w:cs="Arial"/>
          <w:b/>
          <w:bCs/>
          <w:sz w:val="24"/>
          <w:szCs w:val="24"/>
        </w:rPr>
        <w:t>Fundamentación legal y constitucional del Acuerdo Plenario</w:t>
      </w:r>
    </w:p>
    <w:p w14:paraId="5833C625" w14:textId="77777777" w:rsidR="00CD2EA6" w:rsidRPr="00A42F47" w:rsidRDefault="00CD2EA6" w:rsidP="00CD2EA6">
      <w:pPr>
        <w:pStyle w:val="Prrafodelista"/>
        <w:jc w:val="both"/>
        <w:rPr>
          <w:rFonts w:ascii="Arial" w:hAnsi="Arial" w:cs="Arial"/>
          <w:sz w:val="24"/>
          <w:szCs w:val="24"/>
        </w:rPr>
      </w:pPr>
      <w:r w:rsidRPr="00A42F47">
        <w:rPr>
          <w:rFonts w:ascii="Arial" w:hAnsi="Arial" w:cs="Arial"/>
          <w:sz w:val="24"/>
          <w:szCs w:val="24"/>
        </w:rPr>
        <w:t>El Acuerdo Plenario N.º 3-2015/CIJ-116 de la Corte Suprema del Perú (en adelante, el “Acuerdo Plenario”) aborda dos aspectos fundamentales del delito de tráfico de influencias: (1) la participación del tercero interesado (el solicitante o “comprador” de la influencia) en dicho delito, y (2) la legitimidad de la sanción penal en los supuestos de influencias simuladas. En su contenido, el Acuerdo Plenario desarrolla la base legal y constitucional para interpretar ampliamente el artículo 400 del Código Penal peruano (delito de tráfico de influencias) y las normas de participación criminal (artículos 24 y 25 del Código Penal sobre instigación y complicidad). La Corte Suprema enfatiza que este pronunciamiento se emite al amparo del artículo 116° de la Ley Orgánica del Poder Judicial, dotándolo de carácter de precedente vinculante para unificar criterios jurisprudenciales.</w:t>
      </w:r>
    </w:p>
    <w:p w14:paraId="55456DBB" w14:textId="77777777" w:rsidR="00CD2EA6" w:rsidRPr="00A42F47" w:rsidRDefault="00CD2EA6" w:rsidP="00CD2EA6">
      <w:pPr>
        <w:pStyle w:val="Prrafodelista"/>
        <w:jc w:val="both"/>
        <w:rPr>
          <w:rFonts w:ascii="Arial" w:hAnsi="Arial" w:cs="Arial"/>
          <w:sz w:val="24"/>
          <w:szCs w:val="24"/>
        </w:rPr>
      </w:pPr>
      <w:r w:rsidRPr="00A42F47">
        <w:rPr>
          <w:rFonts w:ascii="Arial" w:hAnsi="Arial" w:cs="Arial"/>
          <w:sz w:val="24"/>
          <w:szCs w:val="24"/>
        </w:rPr>
        <w:t>En cuanto a la fundamentación legal, el Acuerdo Plenario sostiene que el tercero interesado no figura expresamente como autor en el tipo penal de tráfico de influencias, pero su responsabilidad puede derivarse de las reglas generales de participación. Inicialmente, diversas opiniones doctrinarias divergían: algunos autores proponían que el interesado podría responder como cómplice primario o como instigador, mientras otros defendían que su conducta no debía ser punible por no estar prevista en la ley. El principio de legalidad y tipicidad (</w:t>
      </w:r>
      <w:proofErr w:type="spellStart"/>
      <w:r w:rsidRPr="00A42F47">
        <w:rPr>
          <w:rFonts w:ascii="Arial" w:hAnsi="Arial" w:cs="Arial"/>
          <w:sz w:val="24"/>
          <w:szCs w:val="24"/>
        </w:rPr>
        <w:t>nullum</w:t>
      </w:r>
      <w:proofErr w:type="spellEnd"/>
      <w:r w:rsidRPr="00A42F47">
        <w:rPr>
          <w:rFonts w:ascii="Arial" w:hAnsi="Arial" w:cs="Arial"/>
          <w:sz w:val="24"/>
          <w:szCs w:val="24"/>
        </w:rPr>
        <w:t xml:space="preserve"> crimen sine lege) exige que las conductas sólo sean punibles si encajan claramente en una descripción típica vigente. A primera vista, la posición garantista de un sector doctrinal era que, al no existir un precepto autónomo en el artículo 400 que sancione al solicitante de la influencia, este quedaría fuera del ámbito de punición penal. En palabras de Rodríguez Delgado (2002), “al no existir un precepto independiente en el caso peruano, y al no excederse el solicitante de influencias de lo exigido en el tipo penal, su conducta debería ser considerada del todo atípica” (Rodríguez Delgado, </w:t>
      </w:r>
      <w:r w:rsidRPr="00A42F47">
        <w:rPr>
          <w:rFonts w:ascii="Arial" w:hAnsi="Arial" w:cs="Arial"/>
          <w:sz w:val="24"/>
          <w:szCs w:val="24"/>
        </w:rPr>
        <w:lastRenderedPageBreak/>
        <w:t>2002, p. 269). Esta postura se apoya en la teoría de los “delitos de encuentro” o de participación necesaria: en delitos que por su naturaleza implican la intervención de dos partes (v.g. el que “vende” y el que “compra” la influencia), la regla general es que solo se sancione a quien la ley explícitamente señala, quedando impunes los demás intervinientes salvo disposición contraria.</w:t>
      </w:r>
    </w:p>
    <w:p w14:paraId="638F752D" w14:textId="77777777" w:rsidR="00CD2EA6" w:rsidRPr="00A42F47" w:rsidRDefault="00CD2EA6" w:rsidP="00CD2EA6">
      <w:pPr>
        <w:pStyle w:val="Prrafodelista"/>
        <w:jc w:val="both"/>
        <w:rPr>
          <w:rFonts w:ascii="Arial" w:hAnsi="Arial" w:cs="Arial"/>
          <w:sz w:val="24"/>
          <w:szCs w:val="24"/>
        </w:rPr>
      </w:pPr>
      <w:r w:rsidRPr="00A42F47">
        <w:rPr>
          <w:rFonts w:ascii="Arial" w:hAnsi="Arial" w:cs="Arial"/>
          <w:sz w:val="24"/>
          <w:szCs w:val="24"/>
        </w:rPr>
        <w:t xml:space="preserve">No obstante, el Acuerdo Plenario adopta una interpretación conforme al principio de legalidad pero con un enfoque finalista y sistemático: recurre a las figuras de participación ya previstas en la ley (instigación y complicidad) para encuadrar la conducta del interesado sin crear un tipo nuevo. La Corte Suprema descarta expresamente la complicidad del solicitante, pues no colabora materialmente en el acto típico de tráfico de influencias. El “comprador de la influencia” no ayuda a invocar ni ofrecer la influencia ilícita; por ello, “no presta ningún tipo de colaboración en la comisión del delito… su colaboración necesaria… resultaría impune desde la perspectiva de la complicidad” (CSJ, 2015, </w:t>
      </w:r>
      <w:proofErr w:type="spellStart"/>
      <w:r w:rsidRPr="00A42F47">
        <w:rPr>
          <w:rFonts w:ascii="Arial" w:hAnsi="Arial" w:cs="Arial"/>
          <w:sz w:val="24"/>
          <w:szCs w:val="24"/>
        </w:rPr>
        <w:t>Fund</w:t>
      </w:r>
      <w:proofErr w:type="spellEnd"/>
      <w:r w:rsidRPr="00A42F47">
        <w:rPr>
          <w:rFonts w:ascii="Arial" w:hAnsi="Arial" w:cs="Arial"/>
          <w:sz w:val="24"/>
          <w:szCs w:val="24"/>
        </w:rPr>
        <w:t xml:space="preserve">. 9). En cambio, sí reconoce cabida a su punición vía instigación: el particular interesado puede ser considerado instigador cuando su accionar determina o refuerza la decisión criminal del traficante de influencias. De acuerdo con el Acuerdo Plenario, la conducta del tercero interesado “se erige claramente en una instigación”, pues su pedido o promesa de entrega de una dádiva activa o impulsa el comercio ilícito de influencias al motivar al traficante a cometer el delito (CSJ, 2015, </w:t>
      </w:r>
      <w:proofErr w:type="spellStart"/>
      <w:r w:rsidRPr="00A42F47">
        <w:rPr>
          <w:rFonts w:ascii="Arial" w:hAnsi="Arial" w:cs="Arial"/>
          <w:sz w:val="24"/>
          <w:szCs w:val="24"/>
        </w:rPr>
        <w:t>Fund</w:t>
      </w:r>
      <w:proofErr w:type="spellEnd"/>
      <w:r w:rsidRPr="00A42F47">
        <w:rPr>
          <w:rFonts w:ascii="Arial" w:hAnsi="Arial" w:cs="Arial"/>
          <w:sz w:val="24"/>
          <w:szCs w:val="24"/>
        </w:rPr>
        <w:t>. 10). Esta conclusión se alinea con el artículo 24 del Código Penal, que sanciona al instigador con la misma pena del autor. Cabe destacar que la Corte pone una condición importante: solo habrá instigación punible si efectivamente el interesado crea o robustece la resolución criminal del autor. Es decir, si el acto del solicitante fue determinante para que se concrete el tráfico de influencias (por ejemplo, cuando él busca activamente a alguien para “comprar” la influencia, o su ofrecimiento de pago incita al delito). En caso contrario, si el autor del tráfico de influencias actúa por iniciativa propia ofreciendo sus “servicios” y el interesado solo accede pasivamente, podría argumentarse que no hubo una determinación psíquica originada por el solicitante, sino mera participación necesaria no instigadora. El Acuerdo, sin embargo, parece asumir que en la dinámica delictiva típica el consentimiento y acuerdo entre comprador y vendedor de la influencia implica ya de por sí un impulso esencial para la realización del ilícito. Esta postura, aunque discutible en teoría, busca impedir zonas de impunidad y se fundamenta en una interpretación teleológica de la ley acorde con su espíritu anticorrupción.</w:t>
      </w:r>
    </w:p>
    <w:p w14:paraId="5A16D5C0" w14:textId="118F1BD0" w:rsidR="00CD2EA6" w:rsidRPr="00A42F47" w:rsidRDefault="00CD2EA6" w:rsidP="00CD2EA6">
      <w:pPr>
        <w:pStyle w:val="Prrafodelista"/>
        <w:jc w:val="both"/>
        <w:rPr>
          <w:rFonts w:ascii="Arial" w:hAnsi="Arial" w:cs="Arial"/>
          <w:sz w:val="24"/>
          <w:szCs w:val="24"/>
        </w:rPr>
      </w:pPr>
      <w:r w:rsidRPr="00A42F47">
        <w:rPr>
          <w:rFonts w:ascii="Arial" w:hAnsi="Arial" w:cs="Arial"/>
          <w:sz w:val="24"/>
          <w:szCs w:val="24"/>
        </w:rPr>
        <w:t xml:space="preserve">En el plano constitucional, el Acuerdo Plenario invoca principios como el de supuesta inocencia hasta prueba en contrario y la necesidad de intervención penal mínima pero eficaz contra la corrupción. Principalmente, subyace el principio de autoridad de la ley y separación de poderes: la Corte Suprema, como intérprete final, justifica la punición del interesado para reforzar la vigencia del orden jurídico frente a actos que erosionan la confianza en la administración pública. Asimismo, se </w:t>
      </w:r>
      <w:r w:rsidRPr="00A42F47">
        <w:rPr>
          <w:rFonts w:ascii="Arial" w:hAnsi="Arial" w:cs="Arial"/>
          <w:sz w:val="24"/>
          <w:szCs w:val="24"/>
        </w:rPr>
        <w:lastRenderedPageBreak/>
        <w:t>alude de manera implícita al principio de igualdad ante la ley: sería incoherente que solo el traficante de influencias (quien vende su presunta influencia) reciba sanción penal, mientras el que solicita o compra dicha influencia –y se beneficia o intenta beneficiarse de esa práctica corrupta– quede inmune. Tal asimetría vulneraría el sentido de justicia material y la igualdad de responsabilidad de quienes participan en un mismo hecho ilícito. De hecho, la jurisprudencia internacional y comparada (por ejemplo, recomendaciones de la Convención Interamericana contra la Corrupción) tiende a desalentar otorgar trato impune a quien busca corromper, así sea mediante intermediarios. La constitucionalidad del Acuerdo Plenario también descansa en la defensa del interés público: la integridad y probidad de la función pública son bienes jurídicos de rango constitucional, cuya protección justifica la intervención penal proporcional cuando son amenazados, aun en forma indirecta o tentativa.</w:t>
      </w:r>
    </w:p>
    <w:p w14:paraId="29131224" w14:textId="77777777" w:rsidR="00CD2EA6" w:rsidRDefault="00CD2EA6" w:rsidP="00CD2EA6">
      <w:pPr>
        <w:pStyle w:val="Prrafodelista"/>
        <w:jc w:val="both"/>
        <w:rPr>
          <w:rFonts w:ascii="Arial" w:hAnsi="Arial" w:cs="Arial"/>
          <w:b/>
          <w:bCs/>
          <w:sz w:val="24"/>
          <w:szCs w:val="24"/>
        </w:rPr>
      </w:pPr>
    </w:p>
    <w:p w14:paraId="06E5181E" w14:textId="1C850575" w:rsidR="00CD2EA6" w:rsidRDefault="00A42F47" w:rsidP="00CD2EA6">
      <w:pPr>
        <w:pStyle w:val="Prrafodelista"/>
        <w:numPr>
          <w:ilvl w:val="1"/>
          <w:numId w:val="7"/>
        </w:numPr>
        <w:jc w:val="both"/>
        <w:rPr>
          <w:rFonts w:ascii="Arial" w:hAnsi="Arial" w:cs="Arial"/>
          <w:b/>
          <w:bCs/>
          <w:sz w:val="24"/>
          <w:szCs w:val="24"/>
        </w:rPr>
      </w:pPr>
      <w:r w:rsidRPr="00A42F47">
        <w:rPr>
          <w:rFonts w:ascii="Arial" w:hAnsi="Arial" w:cs="Arial"/>
          <w:b/>
          <w:bCs/>
          <w:sz w:val="24"/>
          <w:szCs w:val="24"/>
        </w:rPr>
        <w:t>Aplicación práctica en la jurisprudencia penal peruana.</w:t>
      </w:r>
    </w:p>
    <w:p w14:paraId="30E666F3" w14:textId="77777777" w:rsidR="00A42F47" w:rsidRPr="00A42F47" w:rsidRDefault="00A42F47" w:rsidP="00A42F47">
      <w:pPr>
        <w:pStyle w:val="Prrafodelista"/>
        <w:jc w:val="both"/>
        <w:rPr>
          <w:rFonts w:ascii="Arial" w:hAnsi="Arial" w:cs="Arial"/>
          <w:sz w:val="24"/>
          <w:szCs w:val="24"/>
        </w:rPr>
      </w:pPr>
      <w:r w:rsidRPr="00A42F47">
        <w:rPr>
          <w:rFonts w:ascii="Arial" w:hAnsi="Arial" w:cs="Arial"/>
          <w:sz w:val="24"/>
          <w:szCs w:val="24"/>
        </w:rPr>
        <w:t>El Acuerdo Plenario 3-2015, al haberse declarado precedente vinculante, ha orientado la práctica judicial peruana en los casos de tráfico de influencias desde su emisión en octubre de 2015. En la aplicación cotidiana, esto significa que los jueces y tribunales deben seguir los criterios establecidos en los fundamentos 7° al 11° y 13° al 17° del Acuerdo. En la fase de investigación y acusación, el Ministerio Público ahora califica la participación del solicitante de la influencia como instigador del delito de tráfico de influencias (art. 400 CP) y ya no intenta imputarlo como cómplice, ni mucho menos considera su conducta atípica. De igual modo, las defensas han ajustado sus estrategias: frecuentemente discuten si realmente concurrieron actos de instigación por parte del interesado o si este fue más bien víctima de un engaño (lo cual podría acercar su situación a un caso de estafa común y no a un delito contra la administración pública). Sin embargo, tras el Acuerdo Plenario, la tendencia jurisprudencial ha sido considerar que todo comprador de influencias es responsable penalmente si su participación superó el riesgo permitido, es decir, si con su intervención dolosa facilitó o impulsó la concreción del tráfico de influencias.</w:t>
      </w:r>
    </w:p>
    <w:p w14:paraId="120837AB" w14:textId="77777777" w:rsidR="00A42F47" w:rsidRPr="00A42F47" w:rsidRDefault="00A42F47" w:rsidP="00A42F47">
      <w:pPr>
        <w:pStyle w:val="Prrafodelista"/>
        <w:jc w:val="both"/>
        <w:rPr>
          <w:rFonts w:ascii="Arial" w:hAnsi="Arial" w:cs="Arial"/>
          <w:sz w:val="24"/>
          <w:szCs w:val="24"/>
        </w:rPr>
      </w:pPr>
      <w:r w:rsidRPr="00A42F47">
        <w:rPr>
          <w:rFonts w:ascii="Arial" w:hAnsi="Arial" w:cs="Arial"/>
          <w:sz w:val="24"/>
          <w:szCs w:val="24"/>
        </w:rPr>
        <w:t xml:space="preserve">Un ejemplo ilustrativo es la jurisprudencia derivada del caso Delgado Parker, relacionado con las redes de corrupción de la década de 1990. En ese proceso, se discutió la responsabilidad de un empresario que habría solicitado la intervención ilícita de un tercero con influencias políticas. Aplicando los lineamientos unificados, los tribunales evaluaron si dicho interesado generó la decisión criminal del “vendedor” de influencias o reforzó su actuar. Aunque finalmente el caso no culminó en condena sustantiva por prescripción del delito, en autos y sentencias previas se reflejó el criterio de que el solicitante actuó como instigador del tráfico de influencias, por haber buscado y pactado activamente el ilícito (Rodríguez, 2002, p. 270). Del mismo modo, en diversos fallos posteriores al 2015 la Corte Suprema ha confirmado condenas por tráfico de influencias incluyendo al tercero interesado como partícipe instigador cuando se </w:t>
      </w:r>
      <w:r w:rsidRPr="00A42F47">
        <w:rPr>
          <w:rFonts w:ascii="Arial" w:hAnsi="Arial" w:cs="Arial"/>
          <w:sz w:val="24"/>
          <w:szCs w:val="24"/>
        </w:rPr>
        <w:lastRenderedPageBreak/>
        <w:t>acreditó su rol determinante (v.gr. Ejecutoria Suprema del 24/02/2014 citada en el propio Acuerdo Plenario, que ya anticipaba esta interpretación).</w:t>
      </w:r>
    </w:p>
    <w:p w14:paraId="604C6838" w14:textId="77777777" w:rsidR="00A42F47" w:rsidRPr="00A42F47" w:rsidRDefault="00A42F47" w:rsidP="00A42F47">
      <w:pPr>
        <w:pStyle w:val="Prrafodelista"/>
        <w:jc w:val="both"/>
        <w:rPr>
          <w:rFonts w:ascii="Arial" w:hAnsi="Arial" w:cs="Arial"/>
          <w:sz w:val="24"/>
          <w:szCs w:val="24"/>
        </w:rPr>
      </w:pPr>
      <w:r w:rsidRPr="00A42F47">
        <w:rPr>
          <w:rFonts w:ascii="Arial" w:hAnsi="Arial" w:cs="Arial"/>
          <w:sz w:val="24"/>
          <w:szCs w:val="24"/>
        </w:rPr>
        <w:t xml:space="preserve">En la praxis, el Acuerdo Plenario también introdujo consideraciones probatorias específicas. Dado que la figura del instigador puede ser más sutil que la del autor (pues el instigador no ejecuta el acto material, sino que influye en otro para que lo haga), las sentencias han debido fundamentar cuidadosamente cómo se infiere esa determinación psíquica del autor por parte del interesado. Por ejemplo, se valora si el interesado tomó la iniciativa de contactar al traficante, si ofreció o entregó la dádiva antes de cualquier gestión, o si sus insistencias </w:t>
      </w:r>
      <w:proofErr w:type="spellStart"/>
      <w:r w:rsidRPr="00A42F47">
        <w:rPr>
          <w:rFonts w:ascii="Arial" w:hAnsi="Arial" w:cs="Arial"/>
          <w:sz w:val="24"/>
          <w:szCs w:val="24"/>
        </w:rPr>
        <w:t>y</w:t>
      </w:r>
      <w:proofErr w:type="spellEnd"/>
      <w:r w:rsidRPr="00A42F47">
        <w:rPr>
          <w:rFonts w:ascii="Arial" w:hAnsi="Arial" w:cs="Arial"/>
          <w:sz w:val="24"/>
          <w:szCs w:val="24"/>
        </w:rPr>
        <w:t xml:space="preserve"> instrucciones evidencian que sin su aporte el delito quizá no se habría cometido. Esta evaluación fáctica rigurosa responde a la necesidad de no caer en presunciones abusivas: no todo pago a un traficante implica automáticamente instigación, podría haber casos de mera participación necesaria impune (cuando el traficante ya estaba dispuesto a actuar corruptamente y solo “captó” al cliente). La jurisprudencia, guiada por el espíritu del Acuerdo, busca delinear esa frontera caso por caso, asegurando que se sancione únicamente a los intervinientes con verdadero aporte delictivo.</w:t>
      </w:r>
    </w:p>
    <w:p w14:paraId="362F1BF7" w14:textId="44C2A0AD" w:rsidR="00A42F47" w:rsidRPr="00A42F47" w:rsidRDefault="00A42F47" w:rsidP="00A42F47">
      <w:pPr>
        <w:pStyle w:val="Prrafodelista"/>
        <w:jc w:val="both"/>
        <w:rPr>
          <w:rFonts w:ascii="Arial" w:hAnsi="Arial" w:cs="Arial"/>
          <w:sz w:val="24"/>
          <w:szCs w:val="24"/>
        </w:rPr>
      </w:pPr>
      <w:r w:rsidRPr="00A42F47">
        <w:rPr>
          <w:rFonts w:ascii="Arial" w:hAnsi="Arial" w:cs="Arial"/>
          <w:sz w:val="24"/>
          <w:szCs w:val="24"/>
        </w:rPr>
        <w:t>Asimismo, la segunda cuestión abordada –la legitimidad de intervenir penalmente en influencias simuladas– ha tenido eco en sentencias que diferencian influencias reales vs. simuladas. Antes del Acuerdo Plenario, existía incertidumbre sobre si quien fingía tener influencias (sin tener contactos reales con funcionarios) realmente lesionaba un bien jurídico público o si su conducta era un simple engaño privado. Tras 2015, las cortes peruanas han reafirmado que invocar influencias falsas también configura delito de tráfico de influencias, siempre que cumpla con los criterios de idoneidad lesiva establecidos. Por ejemplo, en la jurisprudencia sobre casos de “falsos gestores” que estafaban a ciudadanos ofreciendo trámites ilícitos, se suele concluir que, además de un posible delito patrimonial, esa conducta encaja en el tráfico de influencias simulado porque compromete la imagen de rectitud de la administración pública. No obstante, los jueces aplican el filtro sugerido por el Acuerdo Plenario: examinan si el hecho llegó a poner en riesgo la confianza en la administración (por su gravedad, publicidad o alcance), o si se trató de un ardid burdo de escasa trascendencia. En síntesis, la doctrina legal vinculante del Acuerdo ha logrado uniformizar la reacción penal: el sistema de justicia peruano ahora enfrenta el tráfico de influencias en todas sus modalidades con un enfoque más coherente y completo, cerrando vacíos de punibilidad, pero cuidando de no exceder los márgenes de la legalidad.</w:t>
      </w:r>
    </w:p>
    <w:p w14:paraId="60D9A2F5" w14:textId="037EC6BA" w:rsidR="00CD2EA6" w:rsidRDefault="00A42F47" w:rsidP="00CD2EA6">
      <w:pPr>
        <w:pStyle w:val="Prrafodelista"/>
        <w:numPr>
          <w:ilvl w:val="1"/>
          <w:numId w:val="7"/>
        </w:numPr>
        <w:jc w:val="both"/>
        <w:rPr>
          <w:rFonts w:ascii="Arial" w:hAnsi="Arial" w:cs="Arial"/>
          <w:b/>
          <w:bCs/>
          <w:sz w:val="24"/>
          <w:szCs w:val="24"/>
        </w:rPr>
      </w:pPr>
      <w:r w:rsidRPr="00A42F47">
        <w:rPr>
          <w:rFonts w:ascii="Arial" w:hAnsi="Arial" w:cs="Arial"/>
          <w:b/>
          <w:bCs/>
          <w:sz w:val="24"/>
          <w:szCs w:val="24"/>
        </w:rPr>
        <w:t>Impacto en los principios de tipicidad, lesividad y proporcionalidad.</w:t>
      </w:r>
    </w:p>
    <w:p w14:paraId="319A8624" w14:textId="43F421EB" w:rsidR="00A42F47" w:rsidRPr="00A42F47" w:rsidRDefault="00A42F47" w:rsidP="00A42F47">
      <w:pPr>
        <w:pStyle w:val="Prrafodelista"/>
        <w:numPr>
          <w:ilvl w:val="2"/>
          <w:numId w:val="7"/>
        </w:numPr>
        <w:jc w:val="both"/>
        <w:rPr>
          <w:rFonts w:ascii="Arial" w:hAnsi="Arial" w:cs="Arial"/>
          <w:sz w:val="24"/>
          <w:szCs w:val="24"/>
        </w:rPr>
      </w:pPr>
      <w:r w:rsidRPr="00A42F47">
        <w:rPr>
          <w:rFonts w:ascii="Arial" w:hAnsi="Arial" w:cs="Arial"/>
          <w:sz w:val="24"/>
          <w:szCs w:val="24"/>
        </w:rPr>
        <w:t xml:space="preserve">Principio de tipicidad. La interpretación adoptada por el Acuerdo Plenario debía conciliarse cuidadosamente con el principio de tipicidad, para no vulnerar el mandato de lex </w:t>
      </w:r>
      <w:proofErr w:type="spellStart"/>
      <w:r w:rsidRPr="00A42F47">
        <w:rPr>
          <w:rFonts w:ascii="Arial" w:hAnsi="Arial" w:cs="Arial"/>
          <w:sz w:val="24"/>
          <w:szCs w:val="24"/>
        </w:rPr>
        <w:t>certa</w:t>
      </w:r>
      <w:proofErr w:type="spellEnd"/>
      <w:r w:rsidRPr="00A42F47">
        <w:rPr>
          <w:rFonts w:ascii="Arial" w:hAnsi="Arial" w:cs="Arial"/>
          <w:sz w:val="24"/>
          <w:szCs w:val="24"/>
        </w:rPr>
        <w:t xml:space="preserve"> (certeza en la descripción legal del delito). A primera vista, sancionar al interesado generaba dudas de tipicidad, puesto que el artículo 400 </w:t>
      </w:r>
      <w:r w:rsidRPr="00A42F47">
        <w:rPr>
          <w:rFonts w:ascii="Arial" w:hAnsi="Arial" w:cs="Arial"/>
          <w:sz w:val="24"/>
          <w:szCs w:val="24"/>
        </w:rPr>
        <w:lastRenderedPageBreak/>
        <w:t xml:space="preserve">del Código Penal solo menciona al que “solicita, recibe o acepta” un beneficio a cambio de interceder ante un funcionario (es decir, describe la conducta del traficante de influencias, mas no del solicitante). Sin embargo, la solución fue hallar cabida al interesado dentro del propio sistema típico, aplicando las disposiciones generales de autoría mediata y participación. Esta técnica se considera válida en la medida que el Código Penal peruano (art. 23-24 CP) contempla que instigadores y cómplices son punibles como partícipes de cualquier delito, salvo disposición expresa en contrario. En otras palabras, no se crea un tipo penal nuevo, sino que se integra la conducta del solicitante a la tipicidad del tráfico de influencias como forma de participación accesoria. La tipicidad estricta se preserva porque el hecho base (el tráfico de influencias cometido por el autor) sigue siendo el descrito en la ley, y la contribución del interesado encaja en las formas de intervención ya tipificadas. La propia Corte Suprema resaltó que la participación del interesado es “accesoria… únicamente posible cuando concurre un hecho cometido por un autor”, reafirmando el principio de accesoriedad limitada de la participación (CSJ, 2015, </w:t>
      </w:r>
      <w:proofErr w:type="spellStart"/>
      <w:r w:rsidRPr="00A42F47">
        <w:rPr>
          <w:rFonts w:ascii="Arial" w:hAnsi="Arial" w:cs="Arial"/>
          <w:sz w:val="24"/>
          <w:szCs w:val="24"/>
        </w:rPr>
        <w:t>Fund</w:t>
      </w:r>
      <w:proofErr w:type="spellEnd"/>
      <w:r w:rsidRPr="00A42F47">
        <w:rPr>
          <w:rFonts w:ascii="Arial" w:hAnsi="Arial" w:cs="Arial"/>
          <w:sz w:val="24"/>
          <w:szCs w:val="24"/>
        </w:rPr>
        <w:t>. 10). Desde esta perspectiva, el principio de tipicidad queda salvaguardado: ningún ciudadano ajeno a la conducta descrita en la norma será sancionado, sólo aquel que voluntariamente se involucra en la ejecución del hecho típico impulsando a otro a realizarlo. No obstante, críticos señalan que en la práctica se corre el riesgo de ampliar demasiado la punibilidad si los jueces califican cualquier intervención del solicitante como instigación, incluso cuando este no tuvo un rol claro de motivador. Por ello es esencial que la aplicación jurisprudencial distinga bien cuándo existe determinación dolosa atribuible al interesado (tipicidad de instigador) y cuándo no. En suma, el Acuerdo Plenario, al definir criterios precisos, busca mantener el respeto al principio de tipicidad evitando interpretaciones extensivas más allá de la letra y sentido de la ley.</w:t>
      </w:r>
    </w:p>
    <w:p w14:paraId="174EC54F" w14:textId="76CF7540" w:rsidR="00A42F47" w:rsidRPr="00A42F47" w:rsidRDefault="00A42F47" w:rsidP="00A42F47">
      <w:pPr>
        <w:pStyle w:val="Prrafodelista"/>
        <w:numPr>
          <w:ilvl w:val="2"/>
          <w:numId w:val="7"/>
        </w:numPr>
        <w:jc w:val="both"/>
        <w:rPr>
          <w:rFonts w:ascii="Arial" w:hAnsi="Arial" w:cs="Arial"/>
          <w:sz w:val="24"/>
          <w:szCs w:val="24"/>
        </w:rPr>
      </w:pPr>
      <w:r w:rsidRPr="00A42F47">
        <w:rPr>
          <w:rFonts w:ascii="Arial" w:hAnsi="Arial" w:cs="Arial"/>
          <w:sz w:val="24"/>
          <w:szCs w:val="24"/>
        </w:rPr>
        <w:t xml:space="preserve">Principio de lesividad. El principio de lesividad (o de daño) exige que el Derecho Penal sólo sanciona conductas que lesionen o pongan en peligro real un bien jurídico tutelado. Una de las mayores críticas a la modalidad de influencias simuladas era, precisamente, que podría faltar lesividad material: si el intermediario no tenía influencias reales y jamás llegó a corromper a un funcionario, ¿qué bien jurídico habría resultado afectado? ¿No sería el único perjudicado el propio interesado (engañado en su buena fe) en lugar del Estado? El Acuerdo Plenario aborda frontalmente esta cuestión y concluye que aun en esos casos existe un bien jurídico de carácter intangible pero real: el prestigio, probidad y buen nombre de la Administración Pública. Según la Corte, incluso la mera oferta simulada de vender influencias provoca un descrédito en la imagen de la función pública, </w:t>
      </w:r>
      <w:r w:rsidRPr="00A42F47">
        <w:rPr>
          <w:rFonts w:ascii="Arial" w:hAnsi="Arial" w:cs="Arial"/>
          <w:sz w:val="24"/>
          <w:szCs w:val="24"/>
        </w:rPr>
        <w:lastRenderedPageBreak/>
        <w:t xml:space="preserve">alimentando la percepción de que los asuntos estatales se resuelven con “humo”, favores y dinero. De hecho, ya la doctrina clásica había advertido este riesgo: el jurista italiano </w:t>
      </w:r>
      <w:proofErr w:type="spellStart"/>
      <w:r w:rsidRPr="00A42F47">
        <w:rPr>
          <w:rFonts w:ascii="Arial" w:hAnsi="Arial" w:cs="Arial"/>
          <w:sz w:val="24"/>
          <w:szCs w:val="24"/>
        </w:rPr>
        <w:t>Maggiore</w:t>
      </w:r>
      <w:proofErr w:type="spellEnd"/>
      <w:r w:rsidRPr="00A42F47">
        <w:rPr>
          <w:rFonts w:ascii="Arial" w:hAnsi="Arial" w:cs="Arial"/>
          <w:sz w:val="24"/>
          <w:szCs w:val="24"/>
        </w:rPr>
        <w:t xml:space="preserve"> señalaba que los llamados “vendedores de humo” desprestigian a la autoridad al hacer creer que “la justicia se mueve por influencias, protecciones y dinero” (citado por Serrano, 1999). Por tanto, la punición de estas conductas busca proteger la confianza del público en la integridad del sistema. En términos de lesividad concreta, el Acuerdo Plenario establece criterios de idoneidad lesiva: solo se debe penar al traficante (y a su instigador) si la conducta supera el riesgo penalmente tolerado para el bien jurídico. Es decir, se requiere que la conducta tenga aptitud para efectivamente menoscabar el prestigio de la administración. Así, no cualquier simulación trivial o fantasiosa sería delito, sino aquellas serias, creíbles o difundidas que hagan plausible la existencia de corrupción. Esta posición fue explicitada al afirmarse que “en el delito de tráfico de influencias simuladas la acción se reprime por su idoneidad para lesionar el bien jurídico prestigio y buen nombre de la administración pública. Esta capacidad lesiva… manifiesta… una conformidad con el principio de lesividad” (CSJ, 2015, </w:t>
      </w:r>
      <w:proofErr w:type="spellStart"/>
      <w:r w:rsidRPr="00A42F47">
        <w:rPr>
          <w:rFonts w:ascii="Arial" w:hAnsi="Arial" w:cs="Arial"/>
          <w:sz w:val="24"/>
          <w:szCs w:val="24"/>
        </w:rPr>
        <w:t>Fund</w:t>
      </w:r>
      <w:proofErr w:type="spellEnd"/>
      <w:r w:rsidRPr="00A42F47">
        <w:rPr>
          <w:rFonts w:ascii="Arial" w:hAnsi="Arial" w:cs="Arial"/>
          <w:sz w:val="24"/>
          <w:szCs w:val="24"/>
        </w:rPr>
        <w:t>. 13). En suma, el Acuerdo Plenario refuerza el principio de lesividad al delimitar que solo se sancionarán las conductas de tráfico de influencias (reales o simuladas) que efectivamente pongan en peligro la integridad de la función pública. Con ello, se asegura que el Derecho Penal intervenga únicamente frente a ofensas relevantes al bien jurídico, evitando castigar hechos inocuos o meramente morales.</w:t>
      </w:r>
    </w:p>
    <w:p w14:paraId="17121DCB" w14:textId="77777777" w:rsidR="00A42F47" w:rsidRPr="00A42F47" w:rsidRDefault="00A42F47" w:rsidP="00A42F47">
      <w:pPr>
        <w:pStyle w:val="Prrafodelista"/>
        <w:numPr>
          <w:ilvl w:val="2"/>
          <w:numId w:val="7"/>
        </w:numPr>
        <w:jc w:val="both"/>
        <w:rPr>
          <w:rFonts w:ascii="Arial" w:hAnsi="Arial" w:cs="Arial"/>
          <w:sz w:val="24"/>
          <w:szCs w:val="24"/>
        </w:rPr>
      </w:pPr>
      <w:r w:rsidRPr="00A42F47">
        <w:rPr>
          <w:rFonts w:ascii="Arial" w:hAnsi="Arial" w:cs="Arial"/>
          <w:sz w:val="24"/>
          <w:szCs w:val="24"/>
        </w:rPr>
        <w:t xml:space="preserve">Principio de proporcionalidad. El principio de proporcionalidad rige tanto la definición de delitos como la imposición de penas, exigiendo un equilibrio entre la gravedad del hecho, el daño causado y la respuesta punitiva del Estado. En el contexto del tráfico de influencias y la postura del Acuerdo Plenario, este principio se refleja en varias dimensiones. En primer lugar, la propia decisión de no dejar impune al interesado responde a una proporcionalidad en sentido amplio: el ordenamiento busca que la carga punitiva se distribuya equitativamente entre todos los partícipes responsables del acto corruptor. Sería desproporcionado –y hasta desmotivador para la ley– que solo el traficante enfrentara sanción mientras el instigador/beneficiario quedara libre, pese a ambos haber contribuido al mismo acto ilícito. En segundo lugar, el Acuerdo enfatiza la necesidad de moderación en la intervención penal, restringiendo su aplicación a los casos de real peligrosidad (como se indicó respecto a la lesividad). Esta es una forma de garantizar proporcionalidad ex ante: no criminalizar conductas de escasa relevancia. La Corte Suprema, al demandar que se garantice la punición solo de conductas que dañen o arriesguen bienes jurídicos, está incorporando el principio de </w:t>
      </w:r>
      <w:r w:rsidRPr="00A42F47">
        <w:rPr>
          <w:rFonts w:ascii="Arial" w:hAnsi="Arial" w:cs="Arial"/>
          <w:sz w:val="24"/>
          <w:szCs w:val="24"/>
        </w:rPr>
        <w:lastRenderedPageBreak/>
        <w:t>mínima intervención, corolario del de proporcionalidad. De igual modo, la gradación de las penas previstas para el tráfico de influencias en la ley (que van desde multas significativas hasta posibles penas privativas de libertad en modalidades agravadas) permite al juzgador individualizar la sanción de acuerdo con el nivel de participación y culpabilidad. Por ejemplo, en casos de influencias simuladas sin impacto real, es común que se apliquen penas pecuniarias o suspensión de la pena, lo que mantiene la respuesta penal en un nivel proporcional a la menor entidad del daño (infracción de menor trascendencia). Por el contrario, si el interesado instigó un tráfico de influencias grave (p.ej., para interferir en un gran proceso judicial o administrativo), la pena podrá aproximarse a la de un autor, incluyendo eventualmente prisión efectiva, en atención al alto grado de reproche. La jurisprudencia post Acuerdo Plenario ha mostrado sensibilidad a estas diferencias, reconociendo que no todos los “compradores de influencias” merecen igual sanción: dependerá de factores como la iniciativa, persistencia, monto ofrecido, y la cercanía al logro del acto corrupto. Esto es una manifestación concreta del principio de proporcionalidad en la dosimetría penal. Adicionalmente, desde el punto de vista constitucional, la proporcionalidad actúa como límite para que la extensión interpretativa del tipo penal no sea excesiva. El Tribunal Constitucional peruano ha sostenido que la punición de conductas preparatorias o de mera peligrosidad debe pasar un test de proporcionalidad estricto: ser necesaria para proteger el bien jurídico y no exceder en severidad lo requerido. El Acuerdo Plenario, en esencia, supera ese test al justificar que la sanción al interesado es necesaria (para evitar un vacío que incentive la corrupción), es idónea (porque contribuye a la finalidad preventiva general y especial) y es proporcional en sentido estricto (dado que el mal que se busca evitar –corrupción sistémica y desprestigio institucional– es mayor que la restricción impuesta al infractor).</w:t>
      </w:r>
    </w:p>
    <w:p w14:paraId="1589C84D" w14:textId="2D0DC49F" w:rsidR="00A42F47" w:rsidRPr="00A42F47" w:rsidRDefault="00A42F47" w:rsidP="00A42F47">
      <w:pPr>
        <w:ind w:left="720"/>
        <w:jc w:val="both"/>
        <w:rPr>
          <w:rFonts w:ascii="Arial" w:hAnsi="Arial" w:cs="Arial"/>
          <w:sz w:val="24"/>
          <w:szCs w:val="24"/>
        </w:rPr>
      </w:pPr>
      <w:r w:rsidRPr="00A42F47">
        <w:rPr>
          <w:rFonts w:ascii="Arial" w:hAnsi="Arial" w:cs="Arial"/>
          <w:sz w:val="24"/>
          <w:szCs w:val="24"/>
        </w:rPr>
        <w:t>Nuestra postura interpretativa coincide sustancialmente con la del Acuerdo Plenario en cuanto a su fundamentación legal y constitucional: la decisión de considerar punible al interesado como instigador, excluyendo la complicidad, se apoya sólidamente en la teoría de la participación y en principios de igualdad y justicia material. Asimismo, la inclusión de las influencias simuladas dentro del alcance del tipo penal se justifica por la necesidad de tutelar la confianza pública, siempre que la conducta alcance un umbral de lesividad apreciable.</w:t>
      </w:r>
    </w:p>
    <w:p w14:paraId="0E74BD77" w14:textId="7FF4D317" w:rsidR="00CD2EA6" w:rsidRDefault="00CD2EA6" w:rsidP="00CD2EA6">
      <w:pPr>
        <w:pStyle w:val="Prrafodelista"/>
        <w:numPr>
          <w:ilvl w:val="0"/>
          <w:numId w:val="7"/>
        </w:numPr>
        <w:jc w:val="both"/>
        <w:rPr>
          <w:rFonts w:ascii="Arial" w:hAnsi="Arial" w:cs="Arial"/>
          <w:b/>
          <w:bCs/>
          <w:sz w:val="24"/>
          <w:szCs w:val="24"/>
        </w:rPr>
      </w:pPr>
      <w:r w:rsidRPr="003C2A9F">
        <w:rPr>
          <w:rFonts w:ascii="Arial" w:hAnsi="Arial" w:cs="Arial"/>
          <w:b/>
          <w:bCs/>
          <w:sz w:val="24"/>
          <w:szCs w:val="24"/>
        </w:rPr>
        <w:t>Conclusiones</w:t>
      </w:r>
    </w:p>
    <w:p w14:paraId="380DA8C6" w14:textId="051A31C1" w:rsidR="00A42F47" w:rsidRDefault="00A42F47" w:rsidP="00A42F47">
      <w:pPr>
        <w:pStyle w:val="Prrafodelista"/>
        <w:numPr>
          <w:ilvl w:val="0"/>
          <w:numId w:val="16"/>
        </w:numPr>
        <w:ind w:left="720"/>
        <w:jc w:val="both"/>
        <w:rPr>
          <w:rFonts w:ascii="Arial" w:hAnsi="Arial" w:cs="Arial"/>
          <w:sz w:val="24"/>
          <w:szCs w:val="24"/>
        </w:rPr>
      </w:pPr>
      <w:r w:rsidRPr="00A42F47">
        <w:rPr>
          <w:rFonts w:ascii="Arial" w:hAnsi="Arial" w:cs="Arial"/>
          <w:sz w:val="24"/>
          <w:szCs w:val="24"/>
        </w:rPr>
        <w:t xml:space="preserve">El Acuerdo Plenario N.º 3-2015/CIJ-116 representa un hito en la interpretación del delito de tráfico de influencias en el Perú, al consolidar un modelo que incluye tanto las influencias reales como las simuladas. Se establece que el solo ofrecimiento o invocación de una influencia —aun si es inexistente— puede constituir delito, en tanto compromete la confianza </w:t>
      </w:r>
      <w:r w:rsidRPr="00A42F47">
        <w:rPr>
          <w:rFonts w:ascii="Arial" w:hAnsi="Arial" w:cs="Arial"/>
          <w:sz w:val="24"/>
          <w:szCs w:val="24"/>
        </w:rPr>
        <w:lastRenderedPageBreak/>
        <w:t>pública y el prestigio de la administración estatal. Asimismo, se legitima la responsabilidad penal del interesado como instigador, siempre que su actuación haya determinado o reforzado la comisión del ilícito.</w:t>
      </w:r>
    </w:p>
    <w:p w14:paraId="58F360D3" w14:textId="77777777" w:rsidR="00A42F47" w:rsidRPr="00A42F47" w:rsidRDefault="00A42F47" w:rsidP="00A42F47">
      <w:pPr>
        <w:pStyle w:val="Prrafodelista"/>
        <w:ind w:left="0"/>
        <w:jc w:val="both"/>
        <w:rPr>
          <w:rFonts w:ascii="Arial" w:hAnsi="Arial" w:cs="Arial"/>
          <w:sz w:val="24"/>
          <w:szCs w:val="24"/>
        </w:rPr>
      </w:pPr>
    </w:p>
    <w:p w14:paraId="7F107F28" w14:textId="0BD662D6" w:rsidR="00A42F47" w:rsidRDefault="00A42F47" w:rsidP="00A42F47">
      <w:pPr>
        <w:pStyle w:val="Prrafodelista"/>
        <w:numPr>
          <w:ilvl w:val="0"/>
          <w:numId w:val="16"/>
        </w:numPr>
        <w:ind w:left="720"/>
        <w:jc w:val="both"/>
        <w:rPr>
          <w:rFonts w:ascii="Arial" w:hAnsi="Arial" w:cs="Arial"/>
          <w:sz w:val="24"/>
          <w:szCs w:val="24"/>
        </w:rPr>
      </w:pPr>
      <w:r w:rsidRPr="00A42F47">
        <w:rPr>
          <w:rFonts w:ascii="Arial" w:hAnsi="Arial" w:cs="Arial"/>
          <w:sz w:val="24"/>
          <w:szCs w:val="24"/>
        </w:rPr>
        <w:t xml:space="preserve">Desde una perspectiva garantista, el acuerdo logra armonizar el interés en sancionar conductas corruptas con los principios fundamentales del derecho penal. La tipicidad del interesado no se crea ex </w:t>
      </w:r>
      <w:proofErr w:type="spellStart"/>
      <w:r w:rsidRPr="00A42F47">
        <w:rPr>
          <w:rFonts w:ascii="Arial" w:hAnsi="Arial" w:cs="Arial"/>
          <w:sz w:val="24"/>
          <w:szCs w:val="24"/>
        </w:rPr>
        <w:t>novo</w:t>
      </w:r>
      <w:proofErr w:type="spellEnd"/>
      <w:r w:rsidRPr="00A42F47">
        <w:rPr>
          <w:rFonts w:ascii="Arial" w:hAnsi="Arial" w:cs="Arial"/>
          <w:sz w:val="24"/>
          <w:szCs w:val="24"/>
        </w:rPr>
        <w:t>, sino que se integra mediante las reglas de participación previstas en la ley. Asimismo, la punibilidad de las influencias simuladas se condiciona a su capacidad lesiva efectiva, lo cual respeta el principio de lesividad. Sin embargo, su aplicación judicial exige prudencia interpretativa para evitar extender la punibilidad más allá de los límites permitidos por la legalidad y la proporcionalidad.</w:t>
      </w:r>
    </w:p>
    <w:p w14:paraId="3A9A5999" w14:textId="77777777" w:rsidR="00A42F47" w:rsidRPr="00A42F47" w:rsidRDefault="00A42F47" w:rsidP="00A42F47">
      <w:pPr>
        <w:pStyle w:val="Prrafodelista"/>
        <w:ind w:left="0"/>
        <w:jc w:val="both"/>
        <w:rPr>
          <w:rFonts w:ascii="Arial" w:hAnsi="Arial" w:cs="Arial"/>
          <w:sz w:val="24"/>
          <w:szCs w:val="24"/>
        </w:rPr>
      </w:pPr>
    </w:p>
    <w:p w14:paraId="6E53070C" w14:textId="36EB14EC" w:rsidR="00A42F47" w:rsidRPr="00A42F47" w:rsidRDefault="00A42F47" w:rsidP="00A42F47">
      <w:pPr>
        <w:pStyle w:val="Prrafodelista"/>
        <w:numPr>
          <w:ilvl w:val="0"/>
          <w:numId w:val="16"/>
        </w:numPr>
        <w:ind w:left="720"/>
        <w:jc w:val="both"/>
        <w:rPr>
          <w:rFonts w:ascii="Arial" w:hAnsi="Arial" w:cs="Arial"/>
          <w:sz w:val="24"/>
          <w:szCs w:val="24"/>
        </w:rPr>
      </w:pPr>
      <w:r w:rsidRPr="00A42F47">
        <w:rPr>
          <w:rFonts w:ascii="Arial" w:hAnsi="Arial" w:cs="Arial"/>
          <w:sz w:val="24"/>
          <w:szCs w:val="24"/>
        </w:rPr>
        <w:t>Se recomienda al legislador precisar de forma expresa en el tipo penal la posible participación del interesado, delimitando claramente los supuestos punibles para reforzar la seguridad jurídica. A nivel judicial, se exhorta a los operadores del sistema penal a fundamentar rigurosamente la concurrencia del dolo y el rol instigador del interesado, evitando sancionar conductas ambiguas o derivadas de simples conjeturas. Finalmente, se sugiere al sistema de justicia aplicar criterios objetivos para diferenciar entre simulaciones inofensivas y aquellas que efectivamente lesionan el bien jurídico, de modo que se garantice una intervención penal necesaria, idónea y proporcional.</w:t>
      </w:r>
    </w:p>
    <w:p w14:paraId="2DF10763" w14:textId="12B53E7A" w:rsidR="00B84789" w:rsidRDefault="00B84789" w:rsidP="00B84789">
      <w:pPr>
        <w:pStyle w:val="Prrafodelista"/>
        <w:rPr>
          <w:rFonts w:ascii="Arial" w:hAnsi="Arial" w:cs="Arial"/>
          <w:b/>
          <w:bCs/>
          <w:sz w:val="24"/>
          <w:szCs w:val="24"/>
        </w:rPr>
      </w:pPr>
    </w:p>
    <w:p w14:paraId="39DA9275" w14:textId="738E7115" w:rsidR="003C2A9F" w:rsidRDefault="003C2A9F" w:rsidP="003C2A9F">
      <w:pPr>
        <w:rPr>
          <w:rFonts w:ascii="Arial" w:hAnsi="Arial" w:cs="Arial"/>
          <w:b/>
          <w:bCs/>
          <w:sz w:val="24"/>
          <w:szCs w:val="24"/>
        </w:rPr>
      </w:pPr>
    </w:p>
    <w:p w14:paraId="3A951A2E" w14:textId="77777777" w:rsidR="00A42F47" w:rsidRDefault="00A42F47" w:rsidP="003C2A9F">
      <w:pPr>
        <w:rPr>
          <w:rFonts w:ascii="Arial" w:hAnsi="Arial" w:cs="Arial"/>
          <w:b/>
          <w:bCs/>
          <w:sz w:val="24"/>
          <w:szCs w:val="24"/>
        </w:rPr>
      </w:pPr>
    </w:p>
    <w:p w14:paraId="447A2E23" w14:textId="23060A8C" w:rsidR="003C2A9F" w:rsidRDefault="003C2A9F" w:rsidP="003C2A9F">
      <w:pPr>
        <w:rPr>
          <w:rFonts w:ascii="Arial" w:hAnsi="Arial" w:cs="Arial"/>
          <w:b/>
          <w:bCs/>
          <w:sz w:val="24"/>
          <w:szCs w:val="24"/>
        </w:rPr>
      </w:pPr>
      <w:r w:rsidRPr="003C2A9F">
        <w:rPr>
          <w:rFonts w:ascii="Arial" w:hAnsi="Arial" w:cs="Arial"/>
          <w:b/>
          <w:bCs/>
          <w:sz w:val="24"/>
          <w:szCs w:val="24"/>
        </w:rPr>
        <w:t>Referencias bibliográficas</w:t>
      </w:r>
    </w:p>
    <w:p w14:paraId="7AA086F1" w14:textId="77777777" w:rsidR="00CD2EA6" w:rsidRDefault="00CD2EA6" w:rsidP="00CD2EA6">
      <w:pPr>
        <w:pBdr>
          <w:top w:val="nil"/>
          <w:left w:val="nil"/>
          <w:bottom w:val="nil"/>
          <w:right w:val="nil"/>
          <w:between w:val="nil"/>
        </w:pBdr>
        <w:spacing w:before="240" w:after="240"/>
        <w:ind w:left="860" w:hanging="860"/>
        <w:jc w:val="both"/>
        <w:rPr>
          <w:rFonts w:ascii="Arial" w:eastAsia="Arial" w:hAnsi="Arial" w:cs="Arial"/>
          <w:sz w:val="24"/>
          <w:szCs w:val="24"/>
          <w:highlight w:val="white"/>
        </w:rPr>
      </w:pPr>
      <w:r>
        <w:rPr>
          <w:rFonts w:ascii="Arial" w:eastAsia="Arial" w:hAnsi="Arial" w:cs="Arial"/>
          <w:sz w:val="24"/>
          <w:szCs w:val="24"/>
          <w:highlight w:val="white"/>
        </w:rPr>
        <w:t>Corte Suprema de Justicia del Perú (2015). Acuerdo Plenario N.º 3-2015/CIJ-116 (IX Pleno Jurisdiccional de las Salas Penales Permanente y Transitorias). Fundamento Jurídico 7-17. Publicado en el diario oficial El Peruano el 2 de octubre de 2015.</w:t>
      </w:r>
    </w:p>
    <w:p w14:paraId="7B65CFCC" w14:textId="77777777" w:rsidR="00CD2EA6" w:rsidRDefault="00CD2EA6" w:rsidP="00CD2EA6">
      <w:pPr>
        <w:pBdr>
          <w:top w:val="nil"/>
          <w:left w:val="nil"/>
          <w:bottom w:val="nil"/>
          <w:right w:val="nil"/>
          <w:between w:val="nil"/>
        </w:pBdr>
        <w:spacing w:before="240" w:after="240"/>
        <w:ind w:left="1012" w:hanging="860"/>
        <w:jc w:val="both"/>
        <w:rPr>
          <w:rFonts w:ascii="Arial" w:eastAsia="Arial" w:hAnsi="Arial" w:cs="Arial"/>
          <w:sz w:val="24"/>
          <w:szCs w:val="24"/>
          <w:highlight w:val="white"/>
        </w:rPr>
      </w:pPr>
      <w:r>
        <w:rPr>
          <w:rFonts w:ascii="Arial" w:eastAsia="Arial" w:hAnsi="Arial" w:cs="Arial"/>
          <w:sz w:val="24"/>
          <w:szCs w:val="24"/>
          <w:highlight w:val="white"/>
        </w:rPr>
        <w:t>Díaz Caballero, K. M. (2024). Legitimidad de la intervención penal en la modalidad de influencias simuladas. Trabajo de Segunda Especialidad en Prevención y Control de la Corrupción, Pontificia Universidad Católica del Perú.</w:t>
      </w:r>
    </w:p>
    <w:p w14:paraId="0BE1B5E1" w14:textId="77777777" w:rsidR="00CD2EA6" w:rsidRDefault="00CD2EA6" w:rsidP="00CD2EA6">
      <w:pPr>
        <w:spacing w:before="240" w:after="240"/>
        <w:ind w:left="1012" w:hanging="860"/>
        <w:jc w:val="both"/>
        <w:rPr>
          <w:rFonts w:ascii="Arial" w:eastAsia="Arial" w:hAnsi="Arial" w:cs="Arial"/>
          <w:color w:val="1155CC"/>
          <w:sz w:val="24"/>
          <w:szCs w:val="24"/>
          <w:highlight w:val="white"/>
          <w:u w:val="single"/>
        </w:rPr>
      </w:pPr>
      <w:r>
        <w:rPr>
          <w:rFonts w:ascii="Arial" w:eastAsia="Arial" w:hAnsi="Arial" w:cs="Arial"/>
          <w:sz w:val="24"/>
          <w:szCs w:val="24"/>
          <w:highlight w:val="white"/>
        </w:rPr>
        <w:t xml:space="preserve">David Ricardo Torres Pachas. (15 de noviembre de 2022). </w:t>
      </w:r>
      <w:r>
        <w:rPr>
          <w:rFonts w:ascii="Arial" w:eastAsia="Arial" w:hAnsi="Arial" w:cs="Arial"/>
          <w:i/>
          <w:sz w:val="24"/>
          <w:szCs w:val="24"/>
          <w:highlight w:val="white"/>
        </w:rPr>
        <w:t>La responsabilidad penal del interesado en el delito de tráfico de influencias IDHPUCP</w:t>
      </w:r>
      <w:r>
        <w:rPr>
          <w:rFonts w:ascii="Arial" w:eastAsia="Arial" w:hAnsi="Arial" w:cs="Arial"/>
          <w:sz w:val="24"/>
          <w:szCs w:val="24"/>
          <w:highlight w:val="white"/>
        </w:rPr>
        <w:t>.</w:t>
      </w:r>
      <w:hyperlink r:id="rId7">
        <w:r>
          <w:rPr>
            <w:rFonts w:ascii="Arial" w:eastAsia="Arial" w:hAnsi="Arial" w:cs="Arial"/>
            <w:sz w:val="24"/>
            <w:szCs w:val="24"/>
            <w:highlight w:val="white"/>
          </w:rPr>
          <w:t xml:space="preserve"> </w:t>
        </w:r>
      </w:hyperlink>
      <w:hyperlink r:id="rId8">
        <w:r>
          <w:rPr>
            <w:rFonts w:ascii="Arial" w:eastAsia="Arial" w:hAnsi="Arial" w:cs="Arial"/>
            <w:color w:val="1155CC"/>
            <w:sz w:val="24"/>
            <w:szCs w:val="24"/>
            <w:highlight w:val="white"/>
            <w:u w:val="single"/>
          </w:rPr>
          <w:t>https://idehpucp.pucp.edu.pe/boletin-eventos/la-responsabilidad-penal-del-interesado-en-el-delito-de-trafico-de-influencias-27409/</w:t>
        </w:r>
      </w:hyperlink>
    </w:p>
    <w:p w14:paraId="6D0B3A73" w14:textId="77777777" w:rsidR="00CD2EA6" w:rsidRDefault="00CD2EA6" w:rsidP="00CD2EA6">
      <w:pPr>
        <w:spacing w:before="240" w:after="240"/>
        <w:ind w:left="1012" w:hanging="860"/>
        <w:jc w:val="both"/>
        <w:rPr>
          <w:rFonts w:ascii="Arial" w:eastAsia="Arial" w:hAnsi="Arial" w:cs="Arial"/>
          <w:color w:val="1155CC"/>
          <w:sz w:val="24"/>
          <w:szCs w:val="24"/>
          <w:highlight w:val="white"/>
          <w:u w:val="single"/>
        </w:rPr>
      </w:pPr>
      <w:r>
        <w:rPr>
          <w:rFonts w:ascii="Arial" w:eastAsia="Arial" w:hAnsi="Arial" w:cs="Arial"/>
          <w:sz w:val="24"/>
          <w:szCs w:val="24"/>
          <w:highlight w:val="white"/>
        </w:rPr>
        <w:t xml:space="preserve">Víctor, </w:t>
      </w:r>
      <w:proofErr w:type="spellStart"/>
      <w:r>
        <w:rPr>
          <w:rFonts w:ascii="Arial" w:eastAsia="Arial" w:hAnsi="Arial" w:cs="Arial"/>
          <w:sz w:val="24"/>
          <w:szCs w:val="24"/>
          <w:highlight w:val="white"/>
        </w:rPr>
        <w:t>Túllume</w:t>
      </w:r>
      <w:proofErr w:type="spellEnd"/>
      <w:r>
        <w:rPr>
          <w:rFonts w:ascii="Arial" w:eastAsia="Arial" w:hAnsi="Arial" w:cs="Arial"/>
          <w:sz w:val="24"/>
          <w:szCs w:val="24"/>
          <w:highlight w:val="white"/>
        </w:rPr>
        <w:t xml:space="preserve"> </w:t>
      </w:r>
      <w:proofErr w:type="spellStart"/>
      <w:r>
        <w:rPr>
          <w:rFonts w:ascii="Arial" w:eastAsia="Arial" w:hAnsi="Arial" w:cs="Arial"/>
          <w:sz w:val="24"/>
          <w:szCs w:val="24"/>
          <w:highlight w:val="white"/>
        </w:rPr>
        <w:t>Pisfil</w:t>
      </w:r>
      <w:proofErr w:type="spellEnd"/>
      <w:r>
        <w:rPr>
          <w:rFonts w:ascii="Arial" w:eastAsia="Arial" w:hAnsi="Arial" w:cs="Arial"/>
          <w:sz w:val="24"/>
          <w:szCs w:val="24"/>
          <w:highlight w:val="white"/>
        </w:rPr>
        <w:t xml:space="preserve">. (2021). </w:t>
      </w:r>
      <w:r>
        <w:rPr>
          <w:rFonts w:ascii="Arial" w:eastAsia="Arial" w:hAnsi="Arial" w:cs="Arial"/>
          <w:i/>
          <w:sz w:val="24"/>
          <w:szCs w:val="24"/>
          <w:highlight w:val="white"/>
        </w:rPr>
        <w:t xml:space="preserve">El delito de tráfico de influencias en los casos administrativos. Revista De Investigación De La Academia De La </w:t>
      </w:r>
      <w:r>
        <w:rPr>
          <w:rFonts w:ascii="Arial" w:eastAsia="Arial" w:hAnsi="Arial" w:cs="Arial"/>
          <w:i/>
          <w:sz w:val="24"/>
          <w:szCs w:val="24"/>
          <w:highlight w:val="white"/>
        </w:rPr>
        <w:lastRenderedPageBreak/>
        <w:t>Magistratura</w:t>
      </w:r>
      <w:r>
        <w:rPr>
          <w:rFonts w:ascii="Arial" w:eastAsia="Arial" w:hAnsi="Arial" w:cs="Arial"/>
          <w:sz w:val="24"/>
          <w:szCs w:val="24"/>
          <w:highlight w:val="white"/>
        </w:rPr>
        <w:t xml:space="preserve"> , 3(4), 55-72.</w:t>
      </w:r>
      <w:hyperlink r:id="rId9">
        <w:r>
          <w:rPr>
            <w:rFonts w:ascii="Arial" w:eastAsia="Arial" w:hAnsi="Arial" w:cs="Arial"/>
            <w:sz w:val="24"/>
            <w:szCs w:val="24"/>
            <w:highlight w:val="white"/>
          </w:rPr>
          <w:t xml:space="preserve"> </w:t>
        </w:r>
      </w:hyperlink>
      <w:hyperlink r:id="rId10">
        <w:r>
          <w:rPr>
            <w:rFonts w:ascii="Arial" w:eastAsia="Arial" w:hAnsi="Arial" w:cs="Arial"/>
            <w:color w:val="1155CC"/>
            <w:sz w:val="24"/>
            <w:szCs w:val="24"/>
            <w:highlight w:val="white"/>
            <w:u w:val="single"/>
          </w:rPr>
          <w:t>https://doi.org/10.58581/10.58581/rev.amag.2021.v3n4.03</w:t>
        </w:r>
      </w:hyperlink>
    </w:p>
    <w:p w14:paraId="62CE3314" w14:textId="77777777" w:rsidR="00CD2EA6" w:rsidRDefault="00CD2EA6" w:rsidP="00CD2EA6">
      <w:pPr>
        <w:spacing w:before="240" w:after="240"/>
        <w:ind w:left="1012" w:hanging="860"/>
        <w:jc w:val="both"/>
        <w:rPr>
          <w:rFonts w:ascii="Arial" w:eastAsia="Arial" w:hAnsi="Arial" w:cs="Arial"/>
          <w:color w:val="1155CC"/>
          <w:sz w:val="24"/>
          <w:szCs w:val="24"/>
          <w:highlight w:val="white"/>
          <w:u w:val="single"/>
        </w:rPr>
      </w:pPr>
      <w:r>
        <w:rPr>
          <w:rFonts w:ascii="Arial" w:eastAsia="Arial" w:hAnsi="Arial" w:cs="Arial"/>
          <w:sz w:val="24"/>
          <w:szCs w:val="24"/>
          <w:highlight w:val="white"/>
        </w:rPr>
        <w:t xml:space="preserve">LP Pasión por el Derecho (25 julio, 2019). </w:t>
      </w:r>
      <w:r>
        <w:rPr>
          <w:rFonts w:ascii="Arial" w:eastAsia="Arial" w:hAnsi="Arial" w:cs="Arial"/>
          <w:i/>
          <w:sz w:val="24"/>
          <w:szCs w:val="24"/>
          <w:highlight w:val="white"/>
        </w:rPr>
        <w:t>¡Importante! Casi todo sobre el delito de tráfico de influencias (ponente César San Martín) [Casación 683-2018, Nacional].</w:t>
      </w:r>
      <w:hyperlink r:id="rId11">
        <w:r>
          <w:rPr>
            <w:rFonts w:ascii="Arial" w:eastAsia="Arial" w:hAnsi="Arial" w:cs="Arial"/>
            <w:i/>
            <w:sz w:val="24"/>
            <w:szCs w:val="24"/>
            <w:highlight w:val="white"/>
          </w:rPr>
          <w:t xml:space="preserve"> </w:t>
        </w:r>
      </w:hyperlink>
      <w:hyperlink r:id="rId12">
        <w:r>
          <w:rPr>
            <w:rFonts w:ascii="Arial" w:eastAsia="Arial" w:hAnsi="Arial" w:cs="Arial"/>
            <w:color w:val="1155CC"/>
            <w:sz w:val="24"/>
            <w:szCs w:val="24"/>
            <w:highlight w:val="white"/>
            <w:u w:val="single"/>
          </w:rPr>
          <w:t>https://lpderecho.pe/todo-delito-trafico-influencias-san-martin-castro-casacion-552-2018-canete/</w:t>
        </w:r>
      </w:hyperlink>
    </w:p>
    <w:p w14:paraId="1B8A7649" w14:textId="77777777" w:rsidR="00CD2EA6" w:rsidRDefault="00CD2EA6" w:rsidP="00CD2EA6">
      <w:pPr>
        <w:spacing w:before="240" w:after="240"/>
        <w:ind w:left="1012" w:hanging="860"/>
        <w:jc w:val="both"/>
        <w:rPr>
          <w:rFonts w:ascii="Arial" w:eastAsia="Arial" w:hAnsi="Arial" w:cs="Arial"/>
          <w:color w:val="1155CC"/>
          <w:sz w:val="24"/>
          <w:szCs w:val="24"/>
          <w:highlight w:val="white"/>
          <w:u w:val="single"/>
        </w:rPr>
      </w:pPr>
      <w:r>
        <w:rPr>
          <w:rFonts w:ascii="Arial" w:eastAsia="Arial" w:hAnsi="Arial" w:cs="Arial"/>
          <w:sz w:val="24"/>
          <w:szCs w:val="24"/>
          <w:highlight w:val="white"/>
        </w:rPr>
        <w:t xml:space="preserve">LP Pasión por el Derecho (17 mayo, 2019). </w:t>
      </w:r>
      <w:r>
        <w:rPr>
          <w:rFonts w:ascii="Arial" w:eastAsia="Arial" w:hAnsi="Arial" w:cs="Arial"/>
          <w:i/>
          <w:sz w:val="24"/>
          <w:szCs w:val="24"/>
          <w:highlight w:val="white"/>
        </w:rPr>
        <w:t>[Caso Aurelio Pastor] ¿Abogado que asegura a su cliente ser amigo del funcionario para dilatar plazos comete tráfico de influencias?</w:t>
      </w:r>
      <w:r>
        <w:rPr>
          <w:rFonts w:ascii="Arial" w:eastAsia="Arial" w:hAnsi="Arial" w:cs="Arial"/>
          <w:sz w:val="24"/>
          <w:szCs w:val="24"/>
          <w:highlight w:val="white"/>
        </w:rPr>
        <w:t xml:space="preserve"> [Casación 374-2015, Lima].</w:t>
      </w:r>
      <w:hyperlink r:id="rId13">
        <w:r>
          <w:rPr>
            <w:rFonts w:ascii="Arial" w:eastAsia="Arial" w:hAnsi="Arial" w:cs="Arial"/>
            <w:sz w:val="24"/>
            <w:szCs w:val="24"/>
            <w:highlight w:val="white"/>
          </w:rPr>
          <w:t xml:space="preserve"> </w:t>
        </w:r>
      </w:hyperlink>
      <w:hyperlink r:id="rId14">
        <w:r>
          <w:rPr>
            <w:rFonts w:ascii="Arial" w:eastAsia="Arial" w:hAnsi="Arial" w:cs="Arial"/>
            <w:color w:val="1155CC"/>
            <w:sz w:val="24"/>
            <w:szCs w:val="24"/>
            <w:highlight w:val="white"/>
            <w:u w:val="single"/>
          </w:rPr>
          <w:t>https://lpderecho.pe/abogado-asegura-cliente-amigo-funcionario-dilatar-plazos-comete-trafico-influencias-caso-aurelio-pastor-casacion-374-2015-lima/</w:t>
        </w:r>
      </w:hyperlink>
    </w:p>
    <w:p w14:paraId="29E89734" w14:textId="77777777" w:rsidR="00CD2EA6" w:rsidRDefault="00CD2EA6" w:rsidP="00CD2EA6">
      <w:pPr>
        <w:spacing w:before="240" w:after="240"/>
        <w:ind w:left="1012" w:hanging="860"/>
        <w:jc w:val="both"/>
        <w:rPr>
          <w:rFonts w:ascii="Arial" w:eastAsia="Arial" w:hAnsi="Arial" w:cs="Arial"/>
          <w:color w:val="1155CC"/>
          <w:sz w:val="24"/>
          <w:szCs w:val="24"/>
          <w:highlight w:val="white"/>
          <w:u w:val="single"/>
        </w:rPr>
      </w:pPr>
      <w:r>
        <w:rPr>
          <w:rFonts w:ascii="Arial" w:eastAsia="Arial" w:hAnsi="Arial" w:cs="Arial"/>
          <w:sz w:val="24"/>
          <w:szCs w:val="24"/>
          <w:highlight w:val="white"/>
        </w:rPr>
        <w:t xml:space="preserve">LP Pasión por el Derecho (25 abril, 2019). </w:t>
      </w:r>
      <w:r>
        <w:rPr>
          <w:rFonts w:ascii="Arial" w:eastAsia="Arial" w:hAnsi="Arial" w:cs="Arial"/>
          <w:i/>
          <w:sz w:val="24"/>
          <w:szCs w:val="24"/>
          <w:highlight w:val="white"/>
        </w:rPr>
        <w:t>Tráfico de influencias: Medio corruptor es elemento constitutivo del tipo penal [STC 00228-2017-PHC/TC].</w:t>
      </w:r>
      <w:hyperlink r:id="rId15">
        <w:r>
          <w:rPr>
            <w:rFonts w:ascii="Arial" w:eastAsia="Arial" w:hAnsi="Arial" w:cs="Arial"/>
            <w:sz w:val="24"/>
            <w:szCs w:val="24"/>
            <w:highlight w:val="white"/>
          </w:rPr>
          <w:t xml:space="preserve"> </w:t>
        </w:r>
      </w:hyperlink>
      <w:hyperlink r:id="rId16">
        <w:r>
          <w:rPr>
            <w:rFonts w:ascii="Arial" w:eastAsia="Arial" w:hAnsi="Arial" w:cs="Arial"/>
            <w:color w:val="1155CC"/>
            <w:sz w:val="24"/>
            <w:szCs w:val="24"/>
            <w:highlight w:val="white"/>
            <w:u w:val="single"/>
          </w:rPr>
          <w:t>https://lpderecho.pe/trafico-influencias-medio-corruptor-elemento-constitutivo-tipo-penal-expediente-00228-2017-phc-tc/</w:t>
        </w:r>
      </w:hyperlink>
    </w:p>
    <w:p w14:paraId="5AFD60B5" w14:textId="77777777" w:rsidR="00CD2EA6" w:rsidRDefault="00CD2EA6" w:rsidP="00CD2EA6">
      <w:pPr>
        <w:spacing w:before="240" w:after="240"/>
        <w:ind w:left="1012" w:hanging="860"/>
        <w:jc w:val="both"/>
        <w:rPr>
          <w:rFonts w:ascii="Arial" w:eastAsia="Arial" w:hAnsi="Arial" w:cs="Arial"/>
          <w:color w:val="1155CC"/>
          <w:sz w:val="24"/>
          <w:szCs w:val="24"/>
          <w:highlight w:val="white"/>
          <w:u w:val="single"/>
        </w:rPr>
      </w:pPr>
      <w:proofErr w:type="spellStart"/>
      <w:r>
        <w:rPr>
          <w:rFonts w:ascii="Arial" w:eastAsia="Arial" w:hAnsi="Arial" w:cs="Arial"/>
          <w:sz w:val="24"/>
          <w:szCs w:val="24"/>
          <w:highlight w:val="white"/>
        </w:rPr>
        <w:t>Chanjan</w:t>
      </w:r>
      <w:proofErr w:type="spellEnd"/>
      <w:r>
        <w:rPr>
          <w:rFonts w:ascii="Arial" w:eastAsia="Arial" w:hAnsi="Arial" w:cs="Arial"/>
          <w:sz w:val="24"/>
          <w:szCs w:val="24"/>
          <w:highlight w:val="white"/>
        </w:rPr>
        <w:t xml:space="preserve"> </w:t>
      </w:r>
      <w:proofErr w:type="spellStart"/>
      <w:r>
        <w:rPr>
          <w:rFonts w:ascii="Arial" w:eastAsia="Arial" w:hAnsi="Arial" w:cs="Arial"/>
          <w:sz w:val="24"/>
          <w:szCs w:val="24"/>
          <w:highlight w:val="white"/>
        </w:rPr>
        <w:t>Documet</w:t>
      </w:r>
      <w:proofErr w:type="spellEnd"/>
      <w:r>
        <w:rPr>
          <w:rFonts w:ascii="Arial" w:eastAsia="Arial" w:hAnsi="Arial" w:cs="Arial"/>
          <w:sz w:val="24"/>
          <w:szCs w:val="24"/>
          <w:highlight w:val="white"/>
        </w:rPr>
        <w:t xml:space="preserve">, R., </w:t>
      </w:r>
      <w:proofErr w:type="spellStart"/>
      <w:r>
        <w:rPr>
          <w:rFonts w:ascii="Arial" w:eastAsia="Arial" w:hAnsi="Arial" w:cs="Arial"/>
          <w:sz w:val="24"/>
          <w:szCs w:val="24"/>
          <w:highlight w:val="white"/>
        </w:rPr>
        <w:t>Puchuri</w:t>
      </w:r>
      <w:proofErr w:type="spellEnd"/>
      <w:r>
        <w:rPr>
          <w:rFonts w:ascii="Arial" w:eastAsia="Arial" w:hAnsi="Arial" w:cs="Arial"/>
          <w:sz w:val="24"/>
          <w:szCs w:val="24"/>
          <w:highlight w:val="white"/>
        </w:rPr>
        <w:t xml:space="preserve"> Torres, F. C., Hinojosa Jurado, S., Villalobos Roncal, S. F., </w:t>
      </w:r>
      <w:proofErr w:type="spellStart"/>
      <w:r>
        <w:rPr>
          <w:rFonts w:ascii="Arial" w:eastAsia="Arial" w:hAnsi="Arial" w:cs="Arial"/>
          <w:sz w:val="24"/>
          <w:szCs w:val="24"/>
          <w:highlight w:val="white"/>
        </w:rPr>
        <w:t>Gutierrez</w:t>
      </w:r>
      <w:proofErr w:type="spellEnd"/>
      <w:r>
        <w:rPr>
          <w:rFonts w:ascii="Arial" w:eastAsia="Arial" w:hAnsi="Arial" w:cs="Arial"/>
          <w:sz w:val="24"/>
          <w:szCs w:val="24"/>
          <w:highlight w:val="white"/>
        </w:rPr>
        <w:t xml:space="preserve"> </w:t>
      </w:r>
      <w:proofErr w:type="spellStart"/>
      <w:r>
        <w:rPr>
          <w:rFonts w:ascii="Arial" w:eastAsia="Arial" w:hAnsi="Arial" w:cs="Arial"/>
          <w:sz w:val="24"/>
          <w:szCs w:val="24"/>
          <w:highlight w:val="white"/>
        </w:rPr>
        <w:t>Gozzer</w:t>
      </w:r>
      <w:proofErr w:type="spellEnd"/>
      <w:r>
        <w:rPr>
          <w:rFonts w:ascii="Arial" w:eastAsia="Arial" w:hAnsi="Arial" w:cs="Arial"/>
          <w:sz w:val="24"/>
          <w:szCs w:val="24"/>
          <w:highlight w:val="white"/>
        </w:rPr>
        <w:t>, A. L., &amp; Cueva Arana, J. M. (2020). El delito de tráfico de influencias y el tratamiento del elemento “caso judicial o administrativo”. Derecho &amp; Sociedad, 2(54), 275-292. Recuperado a partir de</w:t>
      </w:r>
      <w:hyperlink r:id="rId17">
        <w:r>
          <w:rPr>
            <w:rFonts w:ascii="Arial" w:eastAsia="Arial" w:hAnsi="Arial" w:cs="Arial"/>
            <w:sz w:val="24"/>
            <w:szCs w:val="24"/>
            <w:highlight w:val="white"/>
          </w:rPr>
          <w:t xml:space="preserve"> </w:t>
        </w:r>
      </w:hyperlink>
      <w:hyperlink r:id="rId18">
        <w:r>
          <w:rPr>
            <w:rFonts w:ascii="Arial" w:eastAsia="Arial" w:hAnsi="Arial" w:cs="Arial"/>
            <w:color w:val="1155CC"/>
            <w:sz w:val="24"/>
            <w:szCs w:val="24"/>
            <w:highlight w:val="white"/>
            <w:u w:val="single"/>
          </w:rPr>
          <w:t>https://revistas.pucp.edu.pe/index.php/derechoysociedad/article/view/22447</w:t>
        </w:r>
      </w:hyperlink>
    </w:p>
    <w:p w14:paraId="4573F025" w14:textId="77777777" w:rsidR="00CD2EA6" w:rsidRDefault="00CD2EA6" w:rsidP="00CD2EA6">
      <w:pPr>
        <w:spacing w:before="240" w:after="240"/>
        <w:ind w:left="1012" w:hanging="860"/>
        <w:jc w:val="both"/>
        <w:rPr>
          <w:rFonts w:ascii="Arial" w:eastAsia="Arial" w:hAnsi="Arial" w:cs="Arial"/>
          <w:color w:val="1155CC"/>
          <w:sz w:val="24"/>
          <w:szCs w:val="24"/>
          <w:highlight w:val="white"/>
          <w:u w:val="single"/>
        </w:rPr>
      </w:pPr>
      <w:r>
        <w:rPr>
          <w:rFonts w:ascii="Arial" w:eastAsia="Arial" w:hAnsi="Arial" w:cs="Arial"/>
          <w:sz w:val="24"/>
          <w:szCs w:val="24"/>
          <w:highlight w:val="white"/>
        </w:rPr>
        <w:t xml:space="preserve">Cerna Camones, D. T. (2020). </w:t>
      </w:r>
      <w:r>
        <w:rPr>
          <w:rFonts w:ascii="Arial" w:eastAsia="Arial" w:hAnsi="Arial" w:cs="Arial"/>
          <w:i/>
          <w:sz w:val="24"/>
          <w:szCs w:val="24"/>
          <w:highlight w:val="white"/>
        </w:rPr>
        <w:t>El delito de tráfico de influencias: legitimación del acto simulado a partir de la configuración del bien jurídico protegido</w:t>
      </w:r>
      <w:r>
        <w:rPr>
          <w:rFonts w:ascii="Arial" w:eastAsia="Arial" w:hAnsi="Arial" w:cs="Arial"/>
          <w:sz w:val="24"/>
          <w:szCs w:val="24"/>
          <w:highlight w:val="white"/>
        </w:rPr>
        <w:t>.</w:t>
      </w:r>
      <w:hyperlink r:id="rId19">
        <w:r>
          <w:rPr>
            <w:rFonts w:ascii="Arial" w:eastAsia="Arial" w:hAnsi="Arial" w:cs="Arial"/>
            <w:sz w:val="24"/>
            <w:szCs w:val="24"/>
            <w:highlight w:val="white"/>
          </w:rPr>
          <w:t xml:space="preserve"> </w:t>
        </w:r>
      </w:hyperlink>
      <w:hyperlink r:id="rId20">
        <w:r>
          <w:rPr>
            <w:rFonts w:ascii="Arial" w:eastAsia="Arial" w:hAnsi="Arial" w:cs="Arial"/>
            <w:color w:val="1155CC"/>
            <w:sz w:val="24"/>
            <w:szCs w:val="24"/>
            <w:highlight w:val="white"/>
            <w:u w:val="single"/>
          </w:rPr>
          <w:t>https://repositorio.usmp.edu.pe/bitstream/handle/20.500.12727/6958/cerna_cdt.pdf?sequence=5&amp;isAllowed=y</w:t>
        </w:r>
      </w:hyperlink>
    </w:p>
    <w:p w14:paraId="0BD0A6F8" w14:textId="77777777" w:rsidR="00CD2EA6" w:rsidRDefault="00CD2EA6" w:rsidP="00CD2EA6">
      <w:pPr>
        <w:pBdr>
          <w:top w:val="nil"/>
          <w:left w:val="nil"/>
          <w:bottom w:val="nil"/>
          <w:right w:val="nil"/>
          <w:between w:val="nil"/>
        </w:pBdr>
        <w:spacing w:before="240" w:after="240"/>
        <w:ind w:left="1012" w:hanging="860"/>
        <w:jc w:val="both"/>
        <w:rPr>
          <w:rFonts w:ascii="Arial" w:eastAsia="Arial" w:hAnsi="Arial" w:cs="Arial"/>
          <w:sz w:val="24"/>
          <w:szCs w:val="24"/>
          <w:highlight w:val="white"/>
        </w:rPr>
      </w:pPr>
      <w:r>
        <w:rPr>
          <w:rFonts w:ascii="Arial" w:eastAsia="Arial" w:hAnsi="Arial" w:cs="Arial"/>
          <w:sz w:val="24"/>
          <w:szCs w:val="24"/>
          <w:highlight w:val="white"/>
        </w:rPr>
        <w:t>Rodríguez Delgado, J. A. (2002). El solicitante en las influencias traficadas: ¿todos son culpables? Ius et Veritas, 12(24), 264-275. ISSN 1995-2929.</w:t>
      </w:r>
    </w:p>
    <w:p w14:paraId="455F7EB6" w14:textId="77777777" w:rsidR="001A2903" w:rsidRPr="003C2A9F" w:rsidRDefault="001A2903">
      <w:pPr>
        <w:rPr>
          <w:rFonts w:ascii="Arial" w:hAnsi="Arial" w:cs="Arial"/>
        </w:rPr>
      </w:pPr>
    </w:p>
    <w:sectPr w:rsidR="001A2903" w:rsidRPr="003C2A9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07553"/>
    <w:multiLevelType w:val="hybridMultilevel"/>
    <w:tmpl w:val="9CD29044"/>
    <w:lvl w:ilvl="0" w:tplc="280A0019">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8E619AA"/>
    <w:multiLevelType w:val="hybridMultilevel"/>
    <w:tmpl w:val="6AA25B7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 w15:restartNumberingAfterBreak="0">
    <w:nsid w:val="16672E68"/>
    <w:multiLevelType w:val="hybridMultilevel"/>
    <w:tmpl w:val="F426E2A2"/>
    <w:lvl w:ilvl="0" w:tplc="280A0019">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DFD2904"/>
    <w:multiLevelType w:val="hybridMultilevel"/>
    <w:tmpl w:val="7110FD2A"/>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 w15:restartNumberingAfterBreak="0">
    <w:nsid w:val="218C360F"/>
    <w:multiLevelType w:val="hybridMultilevel"/>
    <w:tmpl w:val="597A33D4"/>
    <w:lvl w:ilvl="0" w:tplc="280A0019">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29851042"/>
    <w:multiLevelType w:val="hybridMultilevel"/>
    <w:tmpl w:val="E9DC4020"/>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6" w15:restartNumberingAfterBreak="0">
    <w:nsid w:val="341F4EBB"/>
    <w:multiLevelType w:val="hybridMultilevel"/>
    <w:tmpl w:val="47166BC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7" w15:restartNumberingAfterBreak="0">
    <w:nsid w:val="36AE75CF"/>
    <w:multiLevelType w:val="hybridMultilevel"/>
    <w:tmpl w:val="9E14FA9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3D867B03"/>
    <w:multiLevelType w:val="hybridMultilevel"/>
    <w:tmpl w:val="DFCC476E"/>
    <w:lvl w:ilvl="0" w:tplc="280A0019">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3D9D76D2"/>
    <w:multiLevelType w:val="multilevel"/>
    <w:tmpl w:val="3A2C0066"/>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10" w15:restartNumberingAfterBreak="0">
    <w:nsid w:val="403F783B"/>
    <w:multiLevelType w:val="hybridMultilevel"/>
    <w:tmpl w:val="5E345934"/>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1" w15:restartNumberingAfterBreak="0">
    <w:nsid w:val="4ABE141C"/>
    <w:multiLevelType w:val="hybridMultilevel"/>
    <w:tmpl w:val="5A2A9794"/>
    <w:lvl w:ilvl="0" w:tplc="280A0019">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4D737E55"/>
    <w:multiLevelType w:val="hybridMultilevel"/>
    <w:tmpl w:val="B8C4E3B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3" w15:restartNumberingAfterBreak="0">
    <w:nsid w:val="626348B8"/>
    <w:multiLevelType w:val="hybridMultilevel"/>
    <w:tmpl w:val="D8140716"/>
    <w:lvl w:ilvl="0" w:tplc="280A0019">
      <w:start w:val="1"/>
      <w:numFmt w:val="lowerLetter"/>
      <w:lvlText w:val="%1."/>
      <w:lvlJc w:val="left"/>
      <w:pPr>
        <w:ind w:left="1080" w:hanging="360"/>
      </w:p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14" w15:restartNumberingAfterBreak="0">
    <w:nsid w:val="77901508"/>
    <w:multiLevelType w:val="hybridMultilevel"/>
    <w:tmpl w:val="15388DB2"/>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15" w15:restartNumberingAfterBreak="0">
    <w:nsid w:val="7BC869C5"/>
    <w:multiLevelType w:val="hybridMultilevel"/>
    <w:tmpl w:val="D9E6C6F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12"/>
  </w:num>
  <w:num w:numId="4">
    <w:abstractNumId w:val="10"/>
  </w:num>
  <w:num w:numId="5">
    <w:abstractNumId w:val="1"/>
  </w:num>
  <w:num w:numId="6">
    <w:abstractNumId w:val="3"/>
  </w:num>
  <w:num w:numId="7">
    <w:abstractNumId w:val="9"/>
  </w:num>
  <w:num w:numId="8">
    <w:abstractNumId w:val="15"/>
  </w:num>
  <w:num w:numId="9">
    <w:abstractNumId w:val="8"/>
  </w:num>
  <w:num w:numId="10">
    <w:abstractNumId w:val="4"/>
  </w:num>
  <w:num w:numId="11">
    <w:abstractNumId w:val="5"/>
  </w:num>
  <w:num w:numId="12">
    <w:abstractNumId w:val="14"/>
  </w:num>
  <w:num w:numId="13">
    <w:abstractNumId w:val="0"/>
  </w:num>
  <w:num w:numId="14">
    <w:abstractNumId w:val="11"/>
  </w:num>
  <w:num w:numId="15">
    <w:abstractNumId w:val="2"/>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A9F"/>
    <w:rsid w:val="00155081"/>
    <w:rsid w:val="001A2903"/>
    <w:rsid w:val="001B3918"/>
    <w:rsid w:val="002E2C4E"/>
    <w:rsid w:val="003C2A9F"/>
    <w:rsid w:val="005B098A"/>
    <w:rsid w:val="006670F7"/>
    <w:rsid w:val="006F06C7"/>
    <w:rsid w:val="0073354D"/>
    <w:rsid w:val="00740D27"/>
    <w:rsid w:val="00846990"/>
    <w:rsid w:val="009510B5"/>
    <w:rsid w:val="00A42F47"/>
    <w:rsid w:val="00A82057"/>
    <w:rsid w:val="00AF3340"/>
    <w:rsid w:val="00B12F6D"/>
    <w:rsid w:val="00B63378"/>
    <w:rsid w:val="00B84789"/>
    <w:rsid w:val="00C31AA0"/>
    <w:rsid w:val="00C56176"/>
    <w:rsid w:val="00C81877"/>
    <w:rsid w:val="00CD2EA6"/>
    <w:rsid w:val="00CF3531"/>
    <w:rsid w:val="00E34D17"/>
    <w:rsid w:val="00F96D5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567115"/>
  <w15:chartTrackingRefBased/>
  <w15:docId w15:val="{CFAFCCF7-398C-4399-BBEA-7C0D14650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C2A9F"/>
    <w:pPr>
      <w:ind w:left="720"/>
      <w:contextualSpacing/>
    </w:pPr>
  </w:style>
  <w:style w:type="character" w:styleId="Hipervnculo">
    <w:name w:val="Hyperlink"/>
    <w:basedOn w:val="Fuentedeprrafopredeter"/>
    <w:uiPriority w:val="99"/>
    <w:unhideWhenUsed/>
    <w:rsid w:val="00B63378"/>
    <w:rPr>
      <w:color w:val="0563C1" w:themeColor="hyperlink"/>
      <w:u w:val="single"/>
    </w:rPr>
  </w:style>
  <w:style w:type="character" w:styleId="Mencinsinresolver">
    <w:name w:val="Unresolved Mention"/>
    <w:basedOn w:val="Fuentedeprrafopredeter"/>
    <w:uiPriority w:val="99"/>
    <w:semiHidden/>
    <w:unhideWhenUsed/>
    <w:rsid w:val="00B633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6111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dehpucp.pucp.edu.pe/boletin-eventos/la-responsabilidad-penal-del-interesado-en-el-delito-de-trafico-de-influencias-27409/" TargetMode="External"/><Relationship Id="rId13" Type="http://schemas.openxmlformats.org/officeDocument/2006/relationships/hyperlink" Target="https://lpderecho.pe/abogado-asegura-cliente-amigo-funcionario-dilatar-plazos-comete-trafico-influencias-caso-aurelio-pastor-casacion-374-2015-lima/" TargetMode="External"/><Relationship Id="rId18" Type="http://schemas.openxmlformats.org/officeDocument/2006/relationships/hyperlink" Target="https://revistas.pucp.edu.pe/index.php/derechoysociedad/article/view/22447"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idehpucp.pucp.edu.pe/boletin-eventos/la-responsabilidad-penal-del-interesado-en-el-delito-de-trafico-de-influencias-27409/" TargetMode="External"/><Relationship Id="rId12" Type="http://schemas.openxmlformats.org/officeDocument/2006/relationships/hyperlink" Target="https://lpderecho.pe/todo-delito-trafico-influencias-san-martin-castro-casacion-552-2018-canete/" TargetMode="External"/><Relationship Id="rId17" Type="http://schemas.openxmlformats.org/officeDocument/2006/relationships/hyperlink" Target="https://revistas.pucp.edu.pe/index.php/derechoysociedad/article/view/22447" TargetMode="External"/><Relationship Id="rId2" Type="http://schemas.openxmlformats.org/officeDocument/2006/relationships/styles" Target="styles.xml"/><Relationship Id="rId16" Type="http://schemas.openxmlformats.org/officeDocument/2006/relationships/hyperlink" Target="https://lpderecho.pe/trafico-influencias-medio-corruptor-elemento-constitutivo-tipo-penal-expediente-00228-2017-phc-tc/" TargetMode="External"/><Relationship Id="rId20" Type="http://schemas.openxmlformats.org/officeDocument/2006/relationships/hyperlink" Target="https://repositorio.usmp.edu.pe/bitstream/handle/20.500.12727/6958/cerna_cdt.pdf?sequence=5&amp;isAllowed=y" TargetMode="External"/><Relationship Id="rId1" Type="http://schemas.openxmlformats.org/officeDocument/2006/relationships/numbering" Target="numbering.xml"/><Relationship Id="rId6" Type="http://schemas.openxmlformats.org/officeDocument/2006/relationships/hyperlink" Target="https://orcid.org/0000-0003-2388-450X" TargetMode="External"/><Relationship Id="rId11" Type="http://schemas.openxmlformats.org/officeDocument/2006/relationships/hyperlink" Target="https://lpderecho.pe/todo-delito-trafico-influencias-san-martin-castro-casacion-552-2018-canete/" TargetMode="External"/><Relationship Id="rId5" Type="http://schemas.openxmlformats.org/officeDocument/2006/relationships/hyperlink" Target="https://orcid.org/0009-0009-9347-4654" TargetMode="External"/><Relationship Id="rId15" Type="http://schemas.openxmlformats.org/officeDocument/2006/relationships/hyperlink" Target="https://lpderecho.pe/trafico-influencias-medio-corruptor-elemento-constitutivo-tipo-penal-expediente-00228-2017-phc-tc/" TargetMode="External"/><Relationship Id="rId10" Type="http://schemas.openxmlformats.org/officeDocument/2006/relationships/hyperlink" Target="https://doi.org/10.58581/10.58581/rev.amag.2021.v3n4.03" TargetMode="External"/><Relationship Id="rId19" Type="http://schemas.openxmlformats.org/officeDocument/2006/relationships/hyperlink" Target="https://repositorio.usmp.edu.pe/bitstream/handle/20.500.12727/6958/cerna_cdt.pdf?sequence=5&amp;isAllowed=y" TargetMode="External"/><Relationship Id="rId4" Type="http://schemas.openxmlformats.org/officeDocument/2006/relationships/webSettings" Target="webSettings.xml"/><Relationship Id="rId9" Type="http://schemas.openxmlformats.org/officeDocument/2006/relationships/hyperlink" Target="https://doi.org/10.58581/10.58581/rev.amag.2021.v3n4.03" TargetMode="External"/><Relationship Id="rId14" Type="http://schemas.openxmlformats.org/officeDocument/2006/relationships/hyperlink" Target="https://lpderecho.pe/abogado-asegura-cliente-amigo-funcionario-dilatar-plazos-comete-trafico-influencias-caso-aurelio-pastor-casacion-374-2015-lima/" TargetMode="External"/><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377</TotalTime>
  <Pages>15</Pages>
  <Words>6214</Words>
  <Characters>35980</Characters>
  <Application>Microsoft Office Word</Application>
  <DocSecurity>0</DocSecurity>
  <Lines>691</Lines>
  <Paragraphs>133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dc:creator>
  <cp:keywords/>
  <dc:description/>
  <cp:lastModifiedBy>FRANK JUNIOR</cp:lastModifiedBy>
  <cp:revision>12</cp:revision>
  <dcterms:created xsi:type="dcterms:W3CDTF">2025-06-14T00:15:00Z</dcterms:created>
  <dcterms:modified xsi:type="dcterms:W3CDTF">2025-06-21T17:00:00Z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d3d789f3-5902-409e-be73-284b6c0cc7f7</vt:lpwstr>
  </property>
</Properties>
</file>