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79A6C" w14:textId="77777777" w:rsidR="007F0B39" w:rsidRDefault="007F0B39" w:rsidP="007F0B39">
      <w:pPr>
        <w:spacing w:before="120" w:after="120" w:line="240" w:lineRule="auto"/>
        <w:ind w:left="142"/>
        <w:jc w:val="center"/>
        <w:rPr>
          <w:rFonts w:ascii="Arial" w:hAnsi="Arial" w:cs="Arial"/>
          <w:b/>
          <w:sz w:val="48"/>
          <w:szCs w:val="48"/>
          <w:lang w:val="es-ES"/>
        </w:rPr>
      </w:pPr>
    </w:p>
    <w:p w14:paraId="1ECBF202" w14:textId="77777777" w:rsidR="007F0B39" w:rsidRDefault="007F0B39" w:rsidP="007F0B39">
      <w:pPr>
        <w:spacing w:before="120" w:after="120" w:line="240" w:lineRule="auto"/>
        <w:ind w:left="142"/>
        <w:jc w:val="center"/>
        <w:rPr>
          <w:rFonts w:ascii="Arial" w:hAnsi="Arial" w:cs="Arial"/>
          <w:b/>
          <w:sz w:val="48"/>
          <w:szCs w:val="48"/>
          <w:lang w:val="es-ES"/>
        </w:rPr>
      </w:pPr>
    </w:p>
    <w:p w14:paraId="1110093A" w14:textId="77777777" w:rsidR="007F0B39" w:rsidRPr="00AB13D0" w:rsidRDefault="007F0B39" w:rsidP="007F0B39">
      <w:pPr>
        <w:spacing w:before="120" w:after="120" w:line="240" w:lineRule="auto"/>
        <w:ind w:left="142"/>
        <w:jc w:val="center"/>
        <w:rPr>
          <w:rFonts w:ascii="Arial" w:hAnsi="Arial" w:cs="Arial"/>
          <w:b/>
          <w:sz w:val="48"/>
          <w:szCs w:val="48"/>
          <w:lang w:val="es-ES"/>
        </w:rPr>
      </w:pPr>
      <w:r w:rsidRPr="00AB13D0">
        <w:rPr>
          <w:rFonts w:ascii="Arial" w:hAnsi="Arial" w:cs="Arial"/>
          <w:b/>
          <w:sz w:val="48"/>
          <w:szCs w:val="48"/>
          <w:lang w:val="es-ES"/>
        </w:rPr>
        <w:t>El autogolpe de 1992 y la violación de los derechos de garantías judiciales, protección judicial y derecho al trabajo</w:t>
      </w:r>
    </w:p>
    <w:p w14:paraId="2F3EA906" w14:textId="77777777" w:rsidR="007F0B39" w:rsidRPr="00AB13D0" w:rsidRDefault="007F0B39" w:rsidP="007F0B39">
      <w:pPr>
        <w:spacing w:before="120" w:after="120" w:line="240" w:lineRule="auto"/>
        <w:ind w:left="142"/>
        <w:jc w:val="center"/>
        <w:rPr>
          <w:rFonts w:ascii="Arial" w:hAnsi="Arial" w:cs="Arial"/>
          <w:b/>
          <w:sz w:val="48"/>
          <w:szCs w:val="48"/>
          <w:lang w:val="es-ES"/>
        </w:rPr>
      </w:pPr>
    </w:p>
    <w:p w14:paraId="11E71271" w14:textId="77777777" w:rsidR="007F0B39" w:rsidRPr="00AB13D0" w:rsidRDefault="007F0B39" w:rsidP="007F0B39">
      <w:pPr>
        <w:spacing w:before="120" w:after="120" w:line="240" w:lineRule="auto"/>
        <w:ind w:left="142"/>
        <w:jc w:val="center"/>
        <w:rPr>
          <w:rFonts w:ascii="Arial" w:hAnsi="Arial" w:cs="Arial"/>
          <w:b/>
          <w:sz w:val="24"/>
          <w:szCs w:val="24"/>
          <w:lang w:val="en-GB"/>
        </w:rPr>
      </w:pPr>
      <w:r w:rsidRPr="00AB13D0">
        <w:rPr>
          <w:rFonts w:ascii="Arial" w:hAnsi="Arial" w:cs="Arial"/>
          <w:b/>
          <w:sz w:val="48"/>
          <w:szCs w:val="48"/>
          <w:lang w:val="en-US"/>
        </w:rPr>
        <w:t>The 1992 coup and the violation of the rights to judicial guarantees, judicial protection and the right to work</w:t>
      </w:r>
    </w:p>
    <w:p w14:paraId="68BB228F"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6E29B9EA"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51CE2A69"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6D3DE744"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7ADE15D5"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34F88F94"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3EA8FCB4"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73F35A5B"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59DE5483"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415CFE61"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2797B272"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01A585C7"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4609C5E9"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7FFA5256"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4135989D"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402CA41D"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0BA0C7A7"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32180059" w14:textId="77777777" w:rsidR="007F0B39" w:rsidRPr="00AB13D0" w:rsidRDefault="007F0B39" w:rsidP="007F0B39">
      <w:pPr>
        <w:spacing w:before="120" w:after="120" w:line="240" w:lineRule="auto"/>
        <w:ind w:left="142"/>
        <w:jc w:val="center"/>
        <w:rPr>
          <w:rFonts w:ascii="Arial" w:hAnsi="Arial" w:cs="Arial"/>
          <w:b/>
          <w:sz w:val="24"/>
          <w:szCs w:val="24"/>
          <w:lang w:val="en-GB"/>
        </w:rPr>
      </w:pPr>
    </w:p>
    <w:p w14:paraId="5DD23663" w14:textId="77777777" w:rsidR="007F0B39" w:rsidRPr="00AB13D0" w:rsidRDefault="007F0B39" w:rsidP="007F0B39">
      <w:pPr>
        <w:spacing w:before="120" w:after="120" w:line="240" w:lineRule="auto"/>
        <w:jc w:val="both"/>
        <w:rPr>
          <w:rFonts w:ascii="Arial" w:hAnsi="Arial" w:cs="Arial"/>
          <w:bCs/>
          <w:sz w:val="24"/>
          <w:szCs w:val="24"/>
        </w:rPr>
      </w:pPr>
      <w:r w:rsidRPr="00AB13D0">
        <w:rPr>
          <w:rFonts w:ascii="Arial" w:hAnsi="Arial" w:cs="Arial"/>
          <w:bCs/>
          <w:sz w:val="24"/>
          <w:szCs w:val="24"/>
        </w:rPr>
        <w:lastRenderedPageBreak/>
        <w:t>Abog. Piero Luis Leiva García</w:t>
      </w:r>
      <w:r w:rsidRPr="00AB13D0">
        <w:rPr>
          <w:rStyle w:val="Refdenotaalpie"/>
          <w:rFonts w:ascii="Arial" w:hAnsi="Arial" w:cs="Arial"/>
          <w:bCs/>
          <w:sz w:val="24"/>
          <w:szCs w:val="24"/>
        </w:rPr>
        <w:footnoteReference w:id="1"/>
      </w:r>
    </w:p>
    <w:p w14:paraId="647D6EEC" w14:textId="77777777" w:rsidR="007F0B39" w:rsidRPr="00AB13D0" w:rsidRDefault="007F0B39" w:rsidP="007F0B39">
      <w:pPr>
        <w:spacing w:before="120" w:after="120" w:line="240" w:lineRule="auto"/>
        <w:jc w:val="both"/>
        <w:rPr>
          <w:rFonts w:ascii="Arial" w:hAnsi="Arial" w:cs="Arial"/>
          <w:bCs/>
          <w:sz w:val="24"/>
          <w:szCs w:val="24"/>
        </w:rPr>
      </w:pPr>
      <w:r w:rsidRPr="00AB13D0">
        <w:rPr>
          <w:rFonts w:ascii="Arial" w:hAnsi="Arial" w:cs="Arial"/>
          <w:bCs/>
          <w:sz w:val="24"/>
          <w:szCs w:val="24"/>
        </w:rPr>
        <w:t>Abog. Ada Gabriela Muñiz Duran</w:t>
      </w:r>
      <w:r w:rsidRPr="00AB13D0">
        <w:rPr>
          <w:rStyle w:val="Refdenotaalpie"/>
          <w:rFonts w:ascii="Arial" w:hAnsi="Arial" w:cs="Arial"/>
          <w:bCs/>
          <w:sz w:val="24"/>
          <w:szCs w:val="24"/>
        </w:rPr>
        <w:footnoteReference w:id="2"/>
      </w:r>
    </w:p>
    <w:p w14:paraId="3B153059" w14:textId="77777777" w:rsidR="007F0B39" w:rsidRPr="00AB13D0" w:rsidRDefault="007F0B39" w:rsidP="007F0B39">
      <w:pPr>
        <w:spacing w:before="120" w:after="120" w:line="240" w:lineRule="auto"/>
        <w:jc w:val="both"/>
        <w:rPr>
          <w:rFonts w:ascii="Arial" w:hAnsi="Arial" w:cs="Arial"/>
          <w:bCs/>
          <w:sz w:val="16"/>
          <w:szCs w:val="16"/>
        </w:rPr>
      </w:pPr>
    </w:p>
    <w:p w14:paraId="36EC8D4A" w14:textId="77777777" w:rsidR="007F0B39" w:rsidRPr="00AB13D0" w:rsidRDefault="007F0B39" w:rsidP="007F0B39">
      <w:pPr>
        <w:spacing w:before="120" w:after="120" w:line="240" w:lineRule="auto"/>
        <w:jc w:val="both"/>
        <w:rPr>
          <w:rFonts w:ascii="Arial" w:hAnsi="Arial" w:cs="Arial"/>
          <w:bCs/>
          <w:sz w:val="16"/>
          <w:szCs w:val="16"/>
        </w:rPr>
      </w:pPr>
      <w:r w:rsidRPr="00AB13D0">
        <w:rPr>
          <w:rFonts w:ascii="Arial" w:hAnsi="Arial" w:cs="Arial"/>
          <w:bCs/>
          <w:sz w:val="16"/>
          <w:szCs w:val="16"/>
        </w:rPr>
        <w:t>SUMARIO:</w:t>
      </w:r>
    </w:p>
    <w:p w14:paraId="2BF52A3F" w14:textId="77777777" w:rsidR="007F0B39" w:rsidRPr="00AB13D0" w:rsidRDefault="007F0B39" w:rsidP="007F0B39">
      <w:pPr>
        <w:spacing w:line="240" w:lineRule="auto"/>
        <w:jc w:val="both"/>
        <w:rPr>
          <w:rFonts w:ascii="Arial" w:hAnsi="Arial" w:cs="Arial"/>
          <w:bCs/>
          <w:sz w:val="16"/>
          <w:szCs w:val="16"/>
        </w:rPr>
      </w:pPr>
      <w:r w:rsidRPr="00AB13D0">
        <w:rPr>
          <w:rFonts w:ascii="Arial" w:hAnsi="Arial" w:cs="Arial"/>
          <w:bCs/>
          <w:sz w:val="16"/>
          <w:szCs w:val="16"/>
        </w:rPr>
        <w:t>INTRODUCCIÓN-CAPITULO I</w:t>
      </w:r>
      <w:r w:rsidRPr="00AB13D0">
        <w:rPr>
          <w:rFonts w:ascii="Arial" w:hAnsi="Arial" w:cs="Arial"/>
          <w:bCs/>
          <w:sz w:val="16"/>
          <w:szCs w:val="16"/>
          <w:lang w:val="es-MX"/>
        </w:rPr>
        <w:t xml:space="preserve">: CUESTIONES PRELIMINARES-CAPÍTULO II: VIOLACIÓN AL </w:t>
      </w:r>
      <w:r w:rsidRPr="00AB13D0">
        <w:rPr>
          <w:rFonts w:ascii="Arial" w:hAnsi="Arial" w:cs="Arial"/>
          <w:bCs/>
          <w:sz w:val="16"/>
          <w:szCs w:val="16"/>
        </w:rPr>
        <w:t>DERECHO A LAS GARANTÍAS JUDICIALES Y A LA PROTECCIÓN JUDICIAL-CAPITULO III: VIOLACIÓN AL DERECHO AL TRABAJO-</w:t>
      </w:r>
      <w:r w:rsidRPr="00AB13D0">
        <w:rPr>
          <w:rFonts w:ascii="Arial" w:hAnsi="Arial" w:cs="Arial"/>
          <w:bCs/>
          <w:sz w:val="16"/>
          <w:szCs w:val="16"/>
          <w:lang w:val="es-MX"/>
        </w:rPr>
        <w:t xml:space="preserve">CAPÍTULO IV: VIOLACIÓN DE LOS </w:t>
      </w:r>
      <w:r w:rsidRPr="00AB13D0">
        <w:rPr>
          <w:rFonts w:ascii="Arial" w:hAnsi="Arial" w:cs="Arial"/>
          <w:bCs/>
          <w:sz w:val="16"/>
          <w:szCs w:val="16"/>
        </w:rPr>
        <w:t>DERECHOS POLÍTICOS-</w:t>
      </w:r>
      <w:r w:rsidRPr="00AB13D0">
        <w:rPr>
          <w:rFonts w:ascii="Arial" w:hAnsi="Arial" w:cs="Arial"/>
          <w:bCs/>
          <w:sz w:val="16"/>
          <w:szCs w:val="16"/>
          <w:lang w:val="es-MX"/>
        </w:rPr>
        <w:t xml:space="preserve">CONCLUSIONES-BIBLIOGRAFÍA. </w:t>
      </w:r>
    </w:p>
    <w:p w14:paraId="77628EF8" w14:textId="77777777" w:rsidR="007F0B39" w:rsidRPr="00AB13D0" w:rsidRDefault="007F0B39" w:rsidP="007F0B39">
      <w:pPr>
        <w:spacing w:before="120" w:after="120" w:line="240" w:lineRule="auto"/>
        <w:jc w:val="both"/>
        <w:rPr>
          <w:rFonts w:ascii="Arial" w:hAnsi="Arial" w:cs="Arial"/>
          <w:b/>
          <w:sz w:val="24"/>
          <w:szCs w:val="24"/>
          <w:lang w:val="es-MX"/>
        </w:rPr>
      </w:pPr>
    </w:p>
    <w:p w14:paraId="1B13C95D" w14:textId="77777777" w:rsidR="007F0B39" w:rsidRPr="00AB13D0" w:rsidRDefault="007F0B39" w:rsidP="007F0B39">
      <w:pPr>
        <w:spacing w:before="120" w:after="120" w:line="240" w:lineRule="auto"/>
        <w:jc w:val="both"/>
        <w:rPr>
          <w:rFonts w:ascii="Arial" w:hAnsi="Arial" w:cs="Arial"/>
          <w:b/>
          <w:sz w:val="24"/>
          <w:szCs w:val="24"/>
          <w:lang w:val="es-MX"/>
        </w:rPr>
      </w:pPr>
      <w:r w:rsidRPr="00AB13D0">
        <w:rPr>
          <w:rFonts w:ascii="Arial" w:hAnsi="Arial" w:cs="Arial"/>
          <w:b/>
          <w:sz w:val="24"/>
          <w:szCs w:val="24"/>
          <w:lang w:val="es-MX"/>
        </w:rPr>
        <w:t>Resumen</w:t>
      </w:r>
    </w:p>
    <w:p w14:paraId="6120C5A2" w14:textId="77777777" w:rsidR="007F0B39" w:rsidRPr="00AB13D0" w:rsidRDefault="007F0B39" w:rsidP="007F0B39">
      <w:pPr>
        <w:spacing w:before="120" w:after="120" w:line="240" w:lineRule="auto"/>
        <w:jc w:val="both"/>
        <w:rPr>
          <w:rFonts w:ascii="Arial" w:hAnsi="Arial" w:cs="Arial"/>
          <w:bCs/>
          <w:sz w:val="24"/>
          <w:szCs w:val="24"/>
          <w:lang w:val="es-MX"/>
        </w:rPr>
      </w:pPr>
      <w:r w:rsidRPr="00AB13D0">
        <w:rPr>
          <w:rFonts w:ascii="Arial" w:hAnsi="Arial" w:cs="Arial"/>
          <w:bCs/>
          <w:sz w:val="24"/>
          <w:szCs w:val="24"/>
          <w:lang w:val="es-MX"/>
        </w:rPr>
        <w:t>La Corte Interamericana de Derechos Humanos emitió una sentencia mediante la cual declaró responsable al Estado Peruano por la vulneración de los derechos de garantías judiciales, protección judicial y derecho al trabajo contenidos en la Convención Americana en desmedro de 184 trabajadores del Congreso de la Republica cesados inconstitucionalmente en 1992. En el presente trabajo se analiza la mencionada sentencia y el incumplimiento de la obligación de los Estados signatarios de la Convención de respetar y garantizar los derechos consagrados en el citado instrumento internacional, advertida previamente por el Tribunal Constitucional en tres pronunciamientos que serán materia de comentario.</w:t>
      </w:r>
    </w:p>
    <w:p w14:paraId="414AB151" w14:textId="77777777" w:rsidR="007F0B39" w:rsidRPr="00AB13D0" w:rsidRDefault="007F0B39" w:rsidP="007F0B39">
      <w:pPr>
        <w:spacing w:before="120" w:after="120" w:line="240" w:lineRule="auto"/>
        <w:jc w:val="both"/>
        <w:rPr>
          <w:rFonts w:ascii="Arial" w:hAnsi="Arial" w:cs="Arial"/>
          <w:b/>
          <w:sz w:val="24"/>
          <w:szCs w:val="24"/>
          <w:lang w:val="es-MX"/>
        </w:rPr>
      </w:pPr>
    </w:p>
    <w:p w14:paraId="6981459E" w14:textId="77777777" w:rsidR="007F0B39" w:rsidRPr="00AB13D0" w:rsidRDefault="007F0B39" w:rsidP="007F0B39">
      <w:pPr>
        <w:spacing w:before="120" w:after="120" w:line="240" w:lineRule="auto"/>
        <w:jc w:val="both"/>
        <w:rPr>
          <w:rFonts w:ascii="Arial" w:hAnsi="Arial" w:cs="Arial"/>
          <w:bCs/>
          <w:sz w:val="24"/>
          <w:szCs w:val="24"/>
          <w:lang w:val="es-MX"/>
        </w:rPr>
      </w:pPr>
      <w:r w:rsidRPr="00AB13D0">
        <w:rPr>
          <w:rFonts w:ascii="Arial" w:hAnsi="Arial" w:cs="Arial"/>
          <w:b/>
          <w:sz w:val="24"/>
          <w:szCs w:val="24"/>
          <w:lang w:val="es-MX"/>
        </w:rPr>
        <w:t xml:space="preserve">Palabras clave: </w:t>
      </w:r>
      <w:r w:rsidRPr="00AB13D0">
        <w:rPr>
          <w:rFonts w:ascii="Arial" w:hAnsi="Arial" w:cs="Arial"/>
          <w:bCs/>
          <w:sz w:val="24"/>
          <w:szCs w:val="24"/>
          <w:lang w:val="es-MX"/>
        </w:rPr>
        <w:t>Corte Interamericana de Derechos Humanos – Estado Peruano - Derechos de garantías judiciales – Derecho a la protección judicial - Derecho al trabajo - Tribunal Constitucional.</w:t>
      </w:r>
    </w:p>
    <w:p w14:paraId="1F58AC65" w14:textId="77777777" w:rsidR="007F0B39" w:rsidRPr="00AB13D0" w:rsidRDefault="007F0B39" w:rsidP="007F0B39">
      <w:pPr>
        <w:spacing w:line="240" w:lineRule="auto"/>
        <w:jc w:val="both"/>
        <w:rPr>
          <w:rFonts w:ascii="Arial" w:hAnsi="Arial" w:cs="Arial"/>
          <w:b/>
          <w:bCs/>
          <w:sz w:val="24"/>
          <w:szCs w:val="24"/>
          <w:lang w:val="es-MX"/>
        </w:rPr>
      </w:pPr>
    </w:p>
    <w:p w14:paraId="27DA6B0C" w14:textId="77777777" w:rsidR="007F0B39" w:rsidRPr="00AB13D0" w:rsidRDefault="007F0B39" w:rsidP="007F0B39">
      <w:pPr>
        <w:spacing w:line="240" w:lineRule="auto"/>
        <w:jc w:val="both"/>
        <w:rPr>
          <w:rFonts w:ascii="Arial" w:hAnsi="Arial" w:cs="Arial"/>
          <w:b/>
          <w:bCs/>
          <w:sz w:val="24"/>
          <w:szCs w:val="24"/>
          <w:lang w:val="en-US"/>
        </w:rPr>
      </w:pPr>
      <w:r w:rsidRPr="00AB13D0">
        <w:rPr>
          <w:rFonts w:ascii="Arial" w:hAnsi="Arial" w:cs="Arial"/>
          <w:b/>
          <w:bCs/>
          <w:sz w:val="24"/>
          <w:szCs w:val="24"/>
          <w:lang w:val="en-US"/>
        </w:rPr>
        <w:t>Summary</w:t>
      </w:r>
    </w:p>
    <w:p w14:paraId="0149625C" w14:textId="77777777" w:rsidR="007F0B39" w:rsidRPr="00AB13D0" w:rsidRDefault="007F0B39" w:rsidP="007F0B39">
      <w:pPr>
        <w:spacing w:line="240" w:lineRule="auto"/>
        <w:jc w:val="both"/>
        <w:rPr>
          <w:rFonts w:ascii="Arial" w:hAnsi="Arial" w:cs="Arial"/>
          <w:sz w:val="24"/>
          <w:szCs w:val="24"/>
          <w:lang w:val="en-US"/>
        </w:rPr>
      </w:pPr>
      <w:r w:rsidRPr="00AB13D0">
        <w:rPr>
          <w:rFonts w:ascii="Arial" w:hAnsi="Arial" w:cs="Arial"/>
          <w:sz w:val="24"/>
          <w:szCs w:val="24"/>
          <w:lang w:val="en-US"/>
        </w:rPr>
        <w:t>The Inter-American Court of Human Rights issued a ruling by which it declared the Peruvian State responsible for the violation of the rights to judicial guarantees, judicial protection and the right to work contained in the American Convention to the detriment of 184 workers of the Congress of the Republic who were unconstitutionally dismissed. in 1992. This paper analyzes the aforementioned ruling and the failure to comply with the obligation of the signatory States of the Convention to respect and guarantee the rights enshrined in the aforementioned international instrument, previously warned by the Constitutional Court in three pronouncements that will be the subject of comment.</w:t>
      </w:r>
    </w:p>
    <w:p w14:paraId="774F2355" w14:textId="77777777" w:rsidR="007F0B39" w:rsidRPr="00AB13D0" w:rsidRDefault="007F0B39" w:rsidP="007F0B39">
      <w:pPr>
        <w:spacing w:line="240" w:lineRule="auto"/>
        <w:jc w:val="both"/>
        <w:rPr>
          <w:rFonts w:ascii="Arial" w:hAnsi="Arial" w:cs="Arial"/>
          <w:sz w:val="24"/>
          <w:szCs w:val="24"/>
          <w:lang w:val="en-US"/>
        </w:rPr>
      </w:pPr>
    </w:p>
    <w:p w14:paraId="320B71C3" w14:textId="77777777" w:rsidR="007F0B39" w:rsidRPr="00AB13D0" w:rsidRDefault="007F0B39" w:rsidP="007F0B39">
      <w:pPr>
        <w:spacing w:line="240" w:lineRule="auto"/>
        <w:rPr>
          <w:rFonts w:ascii="Arial" w:hAnsi="Arial" w:cs="Arial"/>
          <w:sz w:val="24"/>
          <w:szCs w:val="24"/>
          <w:lang w:val="en-US"/>
        </w:rPr>
      </w:pPr>
      <w:r w:rsidRPr="00AB13D0">
        <w:rPr>
          <w:rFonts w:ascii="Arial" w:hAnsi="Arial" w:cs="Arial"/>
          <w:b/>
          <w:bCs/>
          <w:sz w:val="24"/>
          <w:szCs w:val="24"/>
          <w:lang w:val="en-US"/>
        </w:rPr>
        <w:t>Keywords:</w:t>
      </w:r>
      <w:r w:rsidRPr="00AB13D0">
        <w:rPr>
          <w:rFonts w:ascii="Arial" w:hAnsi="Arial" w:cs="Arial"/>
          <w:sz w:val="24"/>
          <w:szCs w:val="24"/>
          <w:lang w:val="en-US"/>
        </w:rPr>
        <w:t xml:space="preserve"> Inter-American Court of Human Rights – Peruvian State – Rights to judicial guarantees – Right to judicial protection – Right to work – Constitutional Court.</w:t>
      </w:r>
    </w:p>
    <w:p w14:paraId="7C180AD8" w14:textId="77777777" w:rsidR="007F0B39" w:rsidRPr="00AB13D0" w:rsidRDefault="007F0B39" w:rsidP="007F0B39">
      <w:pPr>
        <w:pStyle w:val="Default"/>
        <w:jc w:val="center"/>
        <w:rPr>
          <w:rFonts w:ascii="Arial" w:hAnsi="Arial" w:cs="Arial"/>
          <w:b/>
          <w:bCs/>
          <w:lang w:val="es-MX"/>
        </w:rPr>
      </w:pPr>
      <w:r w:rsidRPr="00AB13D0">
        <w:rPr>
          <w:rFonts w:ascii="Arial" w:hAnsi="Arial" w:cs="Arial"/>
          <w:b/>
          <w:bCs/>
          <w:lang w:val="es-MX"/>
        </w:rPr>
        <w:lastRenderedPageBreak/>
        <w:t>INTRODUCCIÓN</w:t>
      </w:r>
    </w:p>
    <w:p w14:paraId="41650BD6" w14:textId="77777777" w:rsidR="007F0B39" w:rsidRPr="00AB13D0" w:rsidRDefault="007F0B39" w:rsidP="007F0B39">
      <w:pPr>
        <w:pStyle w:val="Default"/>
        <w:rPr>
          <w:rFonts w:ascii="Arial" w:hAnsi="Arial" w:cs="Arial"/>
          <w:lang w:val="es-ES"/>
        </w:rPr>
      </w:pPr>
    </w:p>
    <w:p w14:paraId="5C83E4E3"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La Convención Interamericana de Derechos Humanos también conocida como el Pacto de San José de Costa Rica fue suscrita el 22 de noviembre de 1969, en la Conferencia Especializada Interamericana sobre Derechos Humanos. En dicho instrumento jurídico internacional encontramos el compromiso de los Estados miembros de respetar y garantizar los derechos humanos en ella establecidos.    </w:t>
      </w:r>
    </w:p>
    <w:p w14:paraId="4AF0B1A1" w14:textId="77777777" w:rsidR="007F0B39" w:rsidRPr="00AB13D0" w:rsidRDefault="007F0B39" w:rsidP="007F0B39">
      <w:pPr>
        <w:pStyle w:val="Default"/>
        <w:jc w:val="both"/>
        <w:rPr>
          <w:rFonts w:ascii="Arial" w:hAnsi="Arial" w:cs="Arial"/>
          <w:lang w:val="es-ES"/>
        </w:rPr>
      </w:pPr>
    </w:p>
    <w:p w14:paraId="0EDB4D2D"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La citada Convención recoge como medios de protección de los derechos y libertades, dos órganos competentes para revisar y observar el estricto cumplimiento de los mismos, encontrando así a la Comisión Interamericana de Derechos Humanos y a la Corte Interamericana de Derechos Humanos como instituciones supranacionales encargadas de analizar y resolver las peticiones que alegan violaciones de derechos humanos de los Estados miembros de la Organización de Estados Americanos que han ratificado esta Convención. </w:t>
      </w:r>
    </w:p>
    <w:p w14:paraId="0E2C691A"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Al respecto, el Perú, desde el 28 de julio de 1978 es uno de los 25 países que actualmente forma parte de la Convención, asimismo, desde el 21 de enero de 1981 ha ratificado la competencia de la Corte Interamericana de Derechos Humanos, por lo tanto, como Estado se ve obligado a acatar estrictamente y en sus términos las decisiones que adopte la citada Corte. </w:t>
      </w:r>
    </w:p>
    <w:p w14:paraId="58C8D54C" w14:textId="77777777" w:rsidR="007F0B39" w:rsidRPr="00AB13D0" w:rsidRDefault="007F0B39" w:rsidP="007F0B39">
      <w:pPr>
        <w:pStyle w:val="Default"/>
        <w:jc w:val="both"/>
        <w:rPr>
          <w:rFonts w:ascii="Arial" w:hAnsi="Arial" w:cs="Arial"/>
          <w:lang w:val="es-ES"/>
        </w:rPr>
      </w:pPr>
    </w:p>
    <w:p w14:paraId="2BABB00F"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Así, habiendo precisado los alcances de la Convención y siendo el Perú un Estado parte de la competencia de la Corte Interamericana de Derechos Humanos, es motivo de investigación y análisis el presente caso, el cual refiere a las presuntas violaciones a los artículos 8.1, 25.1 y 26 de la Convención Americana sobre Derechos Humanos por parte del Estado Peruano, en relación con las obligaciones establecidas en los artículos 1.1 y 2 del mismo instrumento, ocurridas en perjuicio de 184 trabajadores que han sido cesados de su empleo durante el gobierno de Alberto Fujimori y habrían visto restringida la posibilidad de interponer recursos judiciales para impugnar el cese, en efecto, se ha advertido que la Corte Interamericana de Derechos Humanos mediante Sentencia del 22 de octubre del 2022 ha identificado que durante el autogolpe de estado propugnado por el Señor Alberto Fujimori </w:t>
      </w:r>
      <w:proofErr w:type="spellStart"/>
      <w:r w:rsidRPr="00AB13D0">
        <w:rPr>
          <w:rFonts w:ascii="Arial" w:hAnsi="Arial" w:cs="Arial"/>
          <w:lang w:val="es-ES"/>
        </w:rPr>
        <w:t>Fujimori</w:t>
      </w:r>
      <w:proofErr w:type="spellEnd"/>
      <w:r w:rsidRPr="00AB13D0">
        <w:rPr>
          <w:rFonts w:ascii="Arial" w:hAnsi="Arial" w:cs="Arial"/>
          <w:lang w:val="es-ES"/>
        </w:rPr>
        <w:t xml:space="preserve"> el año de 1992, se han lesionado los derechos a las garantías judiciales y a la protección judicial, el derecho al trabajo y los derechos políticos de los citados trabajadores, los mismos que 30 años después, fueron restituidos, ejerciendo la Corte Interamericana estricta supervisión al cumplimiento íntegro de la citada Sentencia. </w:t>
      </w:r>
    </w:p>
    <w:p w14:paraId="748DF50E" w14:textId="77777777" w:rsidR="007F0B39" w:rsidRPr="00AB13D0" w:rsidRDefault="007F0B39" w:rsidP="007F0B39">
      <w:pPr>
        <w:pStyle w:val="Default"/>
        <w:jc w:val="both"/>
        <w:rPr>
          <w:rFonts w:ascii="Arial" w:hAnsi="Arial" w:cs="Arial"/>
          <w:lang w:val="es-ES"/>
        </w:rPr>
      </w:pPr>
    </w:p>
    <w:p w14:paraId="04FF107A" w14:textId="77777777" w:rsidR="007F0B39" w:rsidRPr="00AB13D0" w:rsidRDefault="007F0B39" w:rsidP="007F0B39">
      <w:pPr>
        <w:pStyle w:val="Default"/>
        <w:jc w:val="both"/>
        <w:rPr>
          <w:rFonts w:ascii="Arial" w:hAnsi="Arial" w:cs="Arial"/>
          <w:lang w:val="es-ES"/>
        </w:rPr>
      </w:pPr>
    </w:p>
    <w:p w14:paraId="4827CB7F" w14:textId="77777777" w:rsidR="007F0B39" w:rsidRPr="00AB13D0" w:rsidRDefault="007F0B39" w:rsidP="007F0B39">
      <w:pPr>
        <w:pStyle w:val="Default"/>
        <w:jc w:val="both"/>
        <w:rPr>
          <w:rFonts w:ascii="Arial" w:hAnsi="Arial" w:cs="Arial"/>
          <w:lang w:val="es-ES"/>
        </w:rPr>
      </w:pPr>
    </w:p>
    <w:p w14:paraId="39B6A34D" w14:textId="77777777" w:rsidR="007F0B39" w:rsidRPr="00AB13D0" w:rsidRDefault="007F0B39" w:rsidP="007F0B39">
      <w:pPr>
        <w:pStyle w:val="Default"/>
        <w:jc w:val="both"/>
        <w:rPr>
          <w:rFonts w:ascii="Arial" w:hAnsi="Arial" w:cs="Arial"/>
          <w:lang w:val="es-ES"/>
        </w:rPr>
      </w:pPr>
    </w:p>
    <w:p w14:paraId="2EA3847C" w14:textId="77777777" w:rsidR="007F0B39" w:rsidRPr="00AB13D0" w:rsidRDefault="007F0B39" w:rsidP="007F0B39">
      <w:pPr>
        <w:pStyle w:val="Default"/>
        <w:jc w:val="both"/>
        <w:rPr>
          <w:rFonts w:ascii="Arial" w:hAnsi="Arial" w:cs="Arial"/>
          <w:lang w:val="es-ES"/>
        </w:rPr>
      </w:pPr>
    </w:p>
    <w:p w14:paraId="521E55C6" w14:textId="77777777" w:rsidR="007F0B39" w:rsidRPr="00AB13D0" w:rsidRDefault="007F0B39" w:rsidP="007F0B39">
      <w:pPr>
        <w:pStyle w:val="Default"/>
        <w:jc w:val="both"/>
        <w:rPr>
          <w:rFonts w:ascii="Arial" w:hAnsi="Arial" w:cs="Arial"/>
          <w:lang w:val="es-ES"/>
        </w:rPr>
      </w:pPr>
    </w:p>
    <w:p w14:paraId="70CD66C4" w14:textId="77777777" w:rsidR="007F0B39" w:rsidRPr="00AB13D0" w:rsidRDefault="007F0B39" w:rsidP="007F0B39">
      <w:pPr>
        <w:pStyle w:val="Default"/>
        <w:jc w:val="both"/>
        <w:rPr>
          <w:rFonts w:ascii="Arial" w:hAnsi="Arial" w:cs="Arial"/>
          <w:lang w:val="es-ES"/>
        </w:rPr>
      </w:pPr>
    </w:p>
    <w:p w14:paraId="12EC653E" w14:textId="77777777" w:rsidR="007F0B39" w:rsidRPr="00AB13D0" w:rsidRDefault="007F0B39" w:rsidP="007F0B39">
      <w:pPr>
        <w:pStyle w:val="Default"/>
        <w:jc w:val="both"/>
        <w:rPr>
          <w:rFonts w:ascii="Arial" w:hAnsi="Arial" w:cs="Arial"/>
          <w:lang w:val="es-ES"/>
        </w:rPr>
      </w:pPr>
    </w:p>
    <w:p w14:paraId="11F4AEB4" w14:textId="77777777" w:rsidR="007F0B39" w:rsidRPr="00AB13D0" w:rsidRDefault="007F0B39" w:rsidP="007F0B39">
      <w:pPr>
        <w:pStyle w:val="Default"/>
        <w:jc w:val="both"/>
        <w:rPr>
          <w:rFonts w:ascii="Arial" w:hAnsi="Arial" w:cs="Arial"/>
          <w:lang w:val="es-ES"/>
        </w:rPr>
      </w:pPr>
    </w:p>
    <w:p w14:paraId="72DEE530" w14:textId="77777777" w:rsidR="007F0B39" w:rsidRPr="00AB13D0" w:rsidRDefault="007F0B39" w:rsidP="007F0B39">
      <w:pPr>
        <w:pStyle w:val="Default"/>
        <w:jc w:val="both"/>
        <w:rPr>
          <w:rFonts w:ascii="Arial" w:hAnsi="Arial" w:cs="Arial"/>
          <w:lang w:val="es-ES"/>
        </w:rPr>
      </w:pPr>
    </w:p>
    <w:p w14:paraId="6C0B4C4F" w14:textId="77777777" w:rsidR="007F0B39" w:rsidRPr="00AB13D0" w:rsidRDefault="007F0B39" w:rsidP="007F0B39">
      <w:pPr>
        <w:spacing w:line="240" w:lineRule="auto"/>
        <w:jc w:val="both"/>
        <w:rPr>
          <w:rFonts w:ascii="Arial" w:hAnsi="Arial" w:cs="Arial"/>
          <w:b/>
          <w:bCs/>
          <w:sz w:val="24"/>
          <w:szCs w:val="24"/>
          <w:lang w:val="es-MX"/>
        </w:rPr>
      </w:pPr>
    </w:p>
    <w:p w14:paraId="087B65DE"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lastRenderedPageBreak/>
        <w:t>CAPITULO I</w:t>
      </w:r>
    </w:p>
    <w:p w14:paraId="00FFB02C"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t xml:space="preserve">ANTECEDENTES </w:t>
      </w:r>
    </w:p>
    <w:p w14:paraId="6C163623" w14:textId="77777777" w:rsidR="007F0B39" w:rsidRPr="00AB13D0" w:rsidRDefault="007F0B39" w:rsidP="007F0B39">
      <w:pPr>
        <w:spacing w:line="240" w:lineRule="auto"/>
        <w:jc w:val="both"/>
        <w:rPr>
          <w:rFonts w:ascii="Arial" w:hAnsi="Arial" w:cs="Arial"/>
          <w:b/>
          <w:bCs/>
          <w:sz w:val="24"/>
          <w:szCs w:val="24"/>
          <w:lang w:val="es-MX"/>
        </w:rPr>
      </w:pPr>
    </w:p>
    <w:p w14:paraId="3A941ED5" w14:textId="77777777" w:rsidR="007F0B39" w:rsidRPr="00AB13D0" w:rsidRDefault="007F0B39" w:rsidP="007F0B39">
      <w:pPr>
        <w:spacing w:line="240" w:lineRule="auto"/>
        <w:jc w:val="both"/>
        <w:rPr>
          <w:rFonts w:ascii="Arial" w:hAnsi="Arial" w:cs="Arial"/>
          <w:sz w:val="24"/>
          <w:szCs w:val="24"/>
          <w:lang w:val="es-ES"/>
        </w:rPr>
      </w:pPr>
      <w:r w:rsidRPr="00AB13D0">
        <w:rPr>
          <w:rFonts w:ascii="Arial" w:hAnsi="Arial" w:cs="Arial"/>
          <w:sz w:val="24"/>
          <w:szCs w:val="24"/>
          <w:lang w:val="es-ES"/>
        </w:rPr>
        <w:t xml:space="preserve">El presente trabajo de investigación se relaciona con el cese inconstitucional de 184 trabajadores del Congreso de la República de Perú en diciembre de 1992, tras la ruptura del orden democrático-constitucional ocurrida el 5 de abril de 1992 (autogolpe de estado) (Caso Trabajadores Cesados del Congreso [Aguado Alfaro y otros] Vs. Perú, 2022). Como es de conocimiento internacional, el 28 de julio de 1990 el señor Alberto Fujimori </w:t>
      </w:r>
      <w:proofErr w:type="spellStart"/>
      <w:r w:rsidRPr="00AB13D0">
        <w:rPr>
          <w:rFonts w:ascii="Arial" w:hAnsi="Arial" w:cs="Arial"/>
          <w:sz w:val="24"/>
          <w:szCs w:val="24"/>
          <w:lang w:val="es-ES"/>
        </w:rPr>
        <w:t>Fujimori</w:t>
      </w:r>
      <w:proofErr w:type="spellEnd"/>
      <w:r w:rsidRPr="00AB13D0">
        <w:rPr>
          <w:rFonts w:ascii="Arial" w:hAnsi="Arial" w:cs="Arial"/>
          <w:sz w:val="24"/>
          <w:szCs w:val="24"/>
          <w:lang w:val="es-ES"/>
        </w:rPr>
        <w:t xml:space="preserve"> asumió la Presidencia del Perú por el término de cinco años. En el mes de abril de 1992, disolvió temporalmente el Congreso de la República, creando una Comisión que administró su patrimonio, adoptó medidas administrativas y dictó acciones de personal (Caso Trabajadores Cesados del Congreso [Aguado Alfaro y otros] Vs. Perú, 2022, párr. 89.7; Decreto Ley No. 25438, 1992).</w:t>
      </w:r>
    </w:p>
    <w:p w14:paraId="5F6FB2A3" w14:textId="77777777" w:rsidR="007F0B39" w:rsidRPr="00AB13D0" w:rsidRDefault="007F0B39" w:rsidP="007F0B39">
      <w:pPr>
        <w:spacing w:line="240" w:lineRule="auto"/>
        <w:jc w:val="both"/>
        <w:rPr>
          <w:rFonts w:ascii="Arial" w:hAnsi="Arial" w:cs="Arial"/>
          <w:sz w:val="24"/>
          <w:szCs w:val="24"/>
          <w:lang w:val="es-ES"/>
        </w:rPr>
      </w:pPr>
      <w:r w:rsidRPr="00AB13D0">
        <w:rPr>
          <w:rFonts w:ascii="Arial" w:hAnsi="Arial" w:cs="Arial"/>
          <w:sz w:val="24"/>
          <w:szCs w:val="24"/>
          <w:lang w:val="es-ES"/>
        </w:rPr>
        <w:t>Al respecto, la Comisión Administradora del Patrimonio del Congreso inició un "proceso de racionalización de personal" (Decreto Ley No. 25640, 1992). En el marco de este proceso, los trabajadores podían solicitar su cese por renuncia a cambio de un incentivo económico. Además, se dispuso que la Comisión adelantaría un proceso de evaluación y selección de personal mediante exámenes de calificación. Los trabajadores que aprobasen estos exámenes ocuparían los cargos previstos en el nuevo “Cuadro de Asignación de Personal” (CAP) del Congreso, y quienes no alcanzaran la calificación serían cesados y solo tendrían derecho a percibir sus beneficios sociales de acuerdo con la ley (Decreto Ley No. 25640, 1992).</w:t>
      </w:r>
    </w:p>
    <w:p w14:paraId="5B24FF37" w14:textId="77777777" w:rsidR="007F0B39" w:rsidRPr="00AB13D0" w:rsidRDefault="007F0B39" w:rsidP="007F0B39">
      <w:pPr>
        <w:spacing w:line="240" w:lineRule="auto"/>
        <w:jc w:val="both"/>
        <w:rPr>
          <w:rFonts w:ascii="Arial" w:hAnsi="Arial" w:cs="Arial"/>
          <w:sz w:val="24"/>
          <w:szCs w:val="24"/>
          <w:lang w:val="es-ES"/>
        </w:rPr>
      </w:pPr>
      <w:r w:rsidRPr="00AB13D0">
        <w:rPr>
          <w:rFonts w:ascii="Arial" w:hAnsi="Arial" w:cs="Arial"/>
          <w:sz w:val="24"/>
          <w:szCs w:val="24"/>
          <w:lang w:val="es-ES"/>
        </w:rPr>
        <w:t>Como resultado de este proceso, se expidieron dos Resoluciones Administrativas:</w:t>
      </w:r>
    </w:p>
    <w:p w14:paraId="355FBF51" w14:textId="77777777" w:rsidR="007F0B39" w:rsidRPr="00AB13D0" w:rsidRDefault="007F0B39" w:rsidP="007F0B39">
      <w:pPr>
        <w:numPr>
          <w:ilvl w:val="0"/>
          <w:numId w:val="2"/>
        </w:numPr>
        <w:spacing w:line="240" w:lineRule="auto"/>
        <w:jc w:val="both"/>
        <w:rPr>
          <w:rFonts w:ascii="Arial" w:hAnsi="Arial" w:cs="Arial"/>
          <w:sz w:val="24"/>
          <w:szCs w:val="24"/>
          <w:lang w:val="es-ES"/>
        </w:rPr>
      </w:pPr>
      <w:r w:rsidRPr="00AB13D0">
        <w:rPr>
          <w:rFonts w:ascii="Arial" w:hAnsi="Arial" w:cs="Arial"/>
          <w:sz w:val="24"/>
          <w:szCs w:val="24"/>
          <w:lang w:val="es-ES"/>
        </w:rPr>
        <w:t>La Resolución Administrativa 1303</w:t>
      </w:r>
      <w:proofErr w:type="gramStart"/>
      <w:r w:rsidRPr="00AB13D0">
        <w:rPr>
          <w:rFonts w:ascii="Arial" w:hAnsi="Arial" w:cs="Arial"/>
          <w:sz w:val="24"/>
          <w:szCs w:val="24"/>
          <w:lang w:val="es-ES"/>
        </w:rPr>
        <w:t>-“</w:t>
      </w:r>
      <w:proofErr w:type="gramEnd"/>
      <w:r w:rsidRPr="00AB13D0">
        <w:rPr>
          <w:rFonts w:ascii="Arial" w:hAnsi="Arial" w:cs="Arial"/>
          <w:sz w:val="24"/>
          <w:szCs w:val="24"/>
          <w:lang w:val="es-ES"/>
        </w:rPr>
        <w:t>A”-92-CACL: Cesó por reorganización a los funcionarios y servidores que decidieron no inscribirse al concurso de méritos, y a quienes, habiéndose inscrito, no rindieron los exámenes correspondientes.</w:t>
      </w:r>
    </w:p>
    <w:p w14:paraId="353B5434" w14:textId="77777777" w:rsidR="007F0B39" w:rsidRPr="00AB13D0" w:rsidRDefault="007F0B39" w:rsidP="007F0B39">
      <w:pPr>
        <w:numPr>
          <w:ilvl w:val="0"/>
          <w:numId w:val="2"/>
        </w:numPr>
        <w:spacing w:line="240" w:lineRule="auto"/>
        <w:jc w:val="both"/>
        <w:rPr>
          <w:rFonts w:ascii="Arial" w:hAnsi="Arial" w:cs="Arial"/>
          <w:sz w:val="24"/>
          <w:szCs w:val="24"/>
          <w:lang w:val="es-ES"/>
        </w:rPr>
      </w:pPr>
      <w:r w:rsidRPr="00AB13D0">
        <w:rPr>
          <w:rFonts w:ascii="Arial" w:hAnsi="Arial" w:cs="Arial"/>
          <w:sz w:val="24"/>
          <w:szCs w:val="24"/>
          <w:lang w:val="es-ES"/>
        </w:rPr>
        <w:t>La Resolución Administrativa 1303</w:t>
      </w:r>
      <w:proofErr w:type="gramStart"/>
      <w:r w:rsidRPr="00AB13D0">
        <w:rPr>
          <w:rFonts w:ascii="Arial" w:hAnsi="Arial" w:cs="Arial"/>
          <w:sz w:val="24"/>
          <w:szCs w:val="24"/>
          <w:lang w:val="es-ES"/>
        </w:rPr>
        <w:t>-“</w:t>
      </w:r>
      <w:proofErr w:type="gramEnd"/>
      <w:r w:rsidRPr="00AB13D0">
        <w:rPr>
          <w:rFonts w:ascii="Arial" w:hAnsi="Arial" w:cs="Arial"/>
          <w:sz w:val="24"/>
          <w:szCs w:val="24"/>
          <w:lang w:val="es-ES"/>
        </w:rPr>
        <w:t>B”-92-CACL: Cesó por reorganización a los funcionarios y servidores que rindieron el examen de calificación, evaluación y selección, pero no alcanzaron una plaza vacante (Resolución No. 1303-“A”-92-CACL; Resolución No. 1303-“B”-92-CACL).</w:t>
      </w:r>
    </w:p>
    <w:p w14:paraId="401A1732" w14:textId="77777777" w:rsidR="007F0B39" w:rsidRPr="00AB13D0" w:rsidRDefault="007F0B39" w:rsidP="007F0B39">
      <w:pPr>
        <w:spacing w:line="240" w:lineRule="auto"/>
        <w:jc w:val="both"/>
        <w:rPr>
          <w:rFonts w:ascii="Arial" w:hAnsi="Arial" w:cs="Arial"/>
          <w:sz w:val="24"/>
          <w:szCs w:val="24"/>
          <w:lang w:val="es-ES"/>
        </w:rPr>
      </w:pPr>
      <w:r w:rsidRPr="00AB13D0">
        <w:rPr>
          <w:rFonts w:ascii="Arial" w:hAnsi="Arial" w:cs="Arial"/>
          <w:sz w:val="24"/>
          <w:szCs w:val="24"/>
          <w:lang w:val="es-ES"/>
        </w:rPr>
        <w:t>Asimismo, durante la época en que ocurrieron estos hechos, se incluyó en diversos decretos leyes una disposición que impedía la interposición de la acción de amparo para cuestionar sus efectos. Esto desnaturalizó dicha acción constitucional y estableció situaciones exentas del control jurisdiccional (Decreto Ley No. 25640, 1992).</w:t>
      </w:r>
    </w:p>
    <w:p w14:paraId="43F8BDDE" w14:textId="77777777" w:rsidR="007F0B39" w:rsidRPr="00AB13D0" w:rsidRDefault="007F0B39" w:rsidP="007F0B39">
      <w:pPr>
        <w:spacing w:line="240" w:lineRule="auto"/>
        <w:jc w:val="both"/>
        <w:rPr>
          <w:rFonts w:ascii="Arial" w:hAnsi="Arial" w:cs="Arial"/>
          <w:sz w:val="24"/>
          <w:szCs w:val="24"/>
          <w:lang w:val="es-ES"/>
        </w:rPr>
      </w:pPr>
      <w:r w:rsidRPr="00AB13D0">
        <w:rPr>
          <w:rFonts w:ascii="Arial" w:hAnsi="Arial" w:cs="Arial"/>
          <w:sz w:val="24"/>
          <w:szCs w:val="24"/>
          <w:lang w:val="es-ES"/>
        </w:rPr>
        <w:t xml:space="preserve">Si bien a partir de la instauración del gobierno de transición en el año 2000 se emitieron leyes y disposiciones administrativas que dispusieron la revisión de los ceses colectivos, no fue sino hasta el año 2022 que, mediante la Sentencia emitida por la Corte Interamericana de Derechos Humanos en el mes de octubre, se restituyeron los derechos fundamentales de las víctimas peruanas de los hechos antes citados. Estos derechos incluían el derecho al Trabajo, a los </w:t>
      </w:r>
      <w:r w:rsidRPr="00AB13D0">
        <w:rPr>
          <w:rFonts w:ascii="Arial" w:hAnsi="Arial" w:cs="Arial"/>
          <w:sz w:val="24"/>
          <w:szCs w:val="24"/>
          <w:lang w:val="es-ES"/>
        </w:rPr>
        <w:lastRenderedPageBreak/>
        <w:t xml:space="preserve">Derechos Políticos, al Debido Proceso y la Tutela Jurisdiccional, entre otros contemplados en la Norma </w:t>
      </w:r>
      <w:proofErr w:type="spellStart"/>
      <w:r w:rsidRPr="00AB13D0">
        <w:rPr>
          <w:rFonts w:ascii="Arial" w:hAnsi="Arial" w:cs="Arial"/>
          <w:sz w:val="24"/>
          <w:szCs w:val="24"/>
          <w:lang w:val="es-ES"/>
        </w:rPr>
        <w:t>Normarum</w:t>
      </w:r>
      <w:proofErr w:type="spellEnd"/>
      <w:r w:rsidRPr="00AB13D0">
        <w:rPr>
          <w:rFonts w:ascii="Arial" w:hAnsi="Arial" w:cs="Arial"/>
          <w:sz w:val="24"/>
          <w:szCs w:val="24"/>
          <w:lang w:val="es-ES"/>
        </w:rPr>
        <w:t xml:space="preserve"> del Perú. En ejercicio de sus atribuciones y en cumplimiento de sus deberes conforme a la Convención Americana sobre Derechos Humanos, la Corte Interamericana ejerció una estricta supervisión al cumplimiento íntegro de esta Sentencia.</w:t>
      </w:r>
    </w:p>
    <w:p w14:paraId="2BBBF75C" w14:textId="77777777" w:rsidR="007F0B39" w:rsidRPr="00AB13D0" w:rsidRDefault="007F0B39" w:rsidP="007F0B39">
      <w:pPr>
        <w:spacing w:line="240" w:lineRule="auto"/>
        <w:jc w:val="both"/>
        <w:rPr>
          <w:rFonts w:ascii="Arial" w:hAnsi="Arial" w:cs="Arial"/>
          <w:sz w:val="24"/>
          <w:szCs w:val="24"/>
          <w:lang w:val="es-ES"/>
        </w:rPr>
      </w:pPr>
    </w:p>
    <w:p w14:paraId="758C50A0"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t>CAPITULO II</w:t>
      </w:r>
    </w:p>
    <w:p w14:paraId="22FE0995"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t>VIOLACION AL DERECHO A LAS GARANTÍAS JUDICIALES Y A LA PROTECCIÓN JUDICIAL:</w:t>
      </w:r>
    </w:p>
    <w:p w14:paraId="06C24B8F" w14:textId="77777777" w:rsidR="007F0B39" w:rsidRPr="00AB13D0" w:rsidRDefault="007F0B39" w:rsidP="007F0B39">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1CF5D99C"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 xml:space="preserve">El artículo 8.1 de la Convención Interamericana de Derechos Humanos establece que toda persona tiene derecho a ser oída en un plazo razonable por un órgano imparcial y competente, con las debidas garantías procesales, que incluyen la posibilidad de presentar alegatos y aportar pruebas. La Corte Interamericana de Derechos Humanos, en su jurisprudencia, ha indicado que esta disposición convencional implica que la decisión que se produzca a través de un procedimiento judicial debe satisfacer el fin para el cual fue concebida. Se debe garantizar la capacidad del recurso para producir el resultado para el que fue creado, sin perjuicio de que los argumentos de los accionantes deban ser acogidos (Caso Velásquez Rodríguez Vs. Honduras, 1988, </w:t>
      </w:r>
      <w:proofErr w:type="spellStart"/>
      <w:r w:rsidRPr="00AB13D0">
        <w:rPr>
          <w:rFonts w:ascii="Arial" w:hAnsi="Arial" w:cs="Arial"/>
          <w:color w:val="000000"/>
          <w:kern w:val="0"/>
          <w:sz w:val="24"/>
          <w:szCs w:val="24"/>
          <w:lang w:val="es-ES"/>
          <w14:ligatures w14:val="none"/>
        </w:rPr>
        <w:t>párrs</w:t>
      </w:r>
      <w:proofErr w:type="spellEnd"/>
      <w:r w:rsidRPr="00AB13D0">
        <w:rPr>
          <w:rFonts w:ascii="Arial" w:hAnsi="Arial" w:cs="Arial"/>
          <w:color w:val="000000"/>
          <w:kern w:val="0"/>
          <w:sz w:val="24"/>
          <w:szCs w:val="24"/>
          <w:lang w:val="es-ES"/>
          <w14:ligatures w14:val="none"/>
        </w:rPr>
        <w:t xml:space="preserve">. 62-63; Caso </w:t>
      </w:r>
      <w:proofErr w:type="spellStart"/>
      <w:r w:rsidRPr="00AB13D0">
        <w:rPr>
          <w:rFonts w:ascii="Arial" w:hAnsi="Arial" w:cs="Arial"/>
          <w:color w:val="000000"/>
          <w:kern w:val="0"/>
          <w:sz w:val="24"/>
          <w:szCs w:val="24"/>
          <w:lang w:val="es-ES"/>
          <w14:ligatures w14:val="none"/>
        </w:rPr>
        <w:t>Habbal</w:t>
      </w:r>
      <w:proofErr w:type="spellEnd"/>
      <w:r w:rsidRPr="00AB13D0">
        <w:rPr>
          <w:rFonts w:ascii="Arial" w:hAnsi="Arial" w:cs="Arial"/>
          <w:color w:val="000000"/>
          <w:kern w:val="0"/>
          <w:sz w:val="24"/>
          <w:szCs w:val="24"/>
          <w:lang w:val="es-ES"/>
          <w14:ligatures w14:val="none"/>
        </w:rPr>
        <w:t xml:space="preserve"> y otros Vs. Argentina, 2021, párr. 108).</w:t>
      </w:r>
    </w:p>
    <w:p w14:paraId="7F7A1F77"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1EA9FB95" w14:textId="0845F950"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 xml:space="preserve">Por su parte, el artículo 25.1 de la Convención Interamericana de Derechos Humanos precisa la obligación de los Estados parte de garantizar a todas las personas bajo su jurisdicción un recurso judicial efectivo contra actos violatorios de sus derechos fundamentales. Dicha disposición no solo exige la existencia formal de los recursos, sino que estos den resultados o respuestas a las violaciones de derechos contemplados ya sea en la Convención, en la Constitución o en las leyes (Caso </w:t>
      </w:r>
      <w:proofErr w:type="spellStart"/>
      <w:r w:rsidRPr="00AB13D0">
        <w:rPr>
          <w:rFonts w:ascii="Arial" w:hAnsi="Arial" w:cs="Arial"/>
          <w:color w:val="000000"/>
          <w:kern w:val="0"/>
          <w:sz w:val="24"/>
          <w:szCs w:val="24"/>
          <w:lang w:val="es-ES"/>
          <w14:ligatures w14:val="none"/>
        </w:rPr>
        <w:t>Abrill</w:t>
      </w:r>
      <w:proofErr w:type="spellEnd"/>
      <w:r w:rsidRPr="00AB13D0">
        <w:rPr>
          <w:rFonts w:ascii="Arial" w:hAnsi="Arial" w:cs="Arial"/>
          <w:color w:val="000000"/>
          <w:kern w:val="0"/>
          <w:sz w:val="24"/>
          <w:szCs w:val="24"/>
          <w:lang w:val="es-ES"/>
          <w14:ligatures w14:val="none"/>
        </w:rPr>
        <w:t xml:space="preserve"> </w:t>
      </w:r>
      <w:proofErr w:type="spellStart"/>
      <w:r w:rsidRPr="00AB13D0">
        <w:rPr>
          <w:rFonts w:ascii="Arial" w:hAnsi="Arial" w:cs="Arial"/>
          <w:color w:val="000000"/>
          <w:kern w:val="0"/>
          <w:sz w:val="24"/>
          <w:szCs w:val="24"/>
          <w:lang w:val="es-ES"/>
          <w14:ligatures w14:val="none"/>
        </w:rPr>
        <w:t>Alosilla</w:t>
      </w:r>
      <w:proofErr w:type="spellEnd"/>
      <w:r w:rsidRPr="00AB13D0">
        <w:rPr>
          <w:rFonts w:ascii="Arial" w:hAnsi="Arial" w:cs="Arial"/>
          <w:color w:val="000000"/>
          <w:kern w:val="0"/>
          <w:sz w:val="24"/>
          <w:szCs w:val="24"/>
          <w:lang w:val="es-ES"/>
          <w14:ligatures w14:val="none"/>
        </w:rPr>
        <w:t xml:space="preserve"> y otros Vs. Perú, 2011, párr. 75; Caso Martínez Esquivia Vs. Colombia, 2020, párr. 130).</w:t>
      </w:r>
    </w:p>
    <w:p w14:paraId="6A216728"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7A2548A9" w14:textId="0B161B49"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 xml:space="preserve">Por ello, no pueden considerarse efectivos aquellos recursos que, por las condiciones generales del país o incluso por las circunstancias particulares de un caso, resulten ilusorios. Lo anterior no implica que se evalúe la efectividad de un recurso en función de que produzca un resultado favorable para el demandante (Caso </w:t>
      </w:r>
      <w:proofErr w:type="spellStart"/>
      <w:r w:rsidRPr="00AB13D0">
        <w:rPr>
          <w:rFonts w:ascii="Arial" w:hAnsi="Arial" w:cs="Arial"/>
          <w:color w:val="000000"/>
          <w:kern w:val="0"/>
          <w:sz w:val="24"/>
          <w:szCs w:val="24"/>
          <w:lang w:val="es-ES"/>
          <w14:ligatures w14:val="none"/>
        </w:rPr>
        <w:t>Barbani</w:t>
      </w:r>
      <w:proofErr w:type="spellEnd"/>
      <w:r w:rsidRPr="00AB13D0">
        <w:rPr>
          <w:rFonts w:ascii="Arial" w:hAnsi="Arial" w:cs="Arial"/>
          <w:color w:val="000000"/>
          <w:kern w:val="0"/>
          <w:sz w:val="24"/>
          <w:szCs w:val="24"/>
          <w:lang w:val="es-ES"/>
          <w14:ligatures w14:val="none"/>
        </w:rPr>
        <w:t xml:space="preserve"> Duarte y otros Vs. Uruguay, 2011, párr. 122; Caso Martínez Esquivia Vs. Colombia, 2020, párr. 131), sino a la luz de su idoneidad y efectividad para combatir eventuales violaciones de derechos fundamentales (Caso Maritza Urrutia Vs. Guatemala, 2003, párr. 117; Caso </w:t>
      </w:r>
      <w:proofErr w:type="spellStart"/>
      <w:r w:rsidRPr="00AB13D0">
        <w:rPr>
          <w:rFonts w:ascii="Arial" w:hAnsi="Arial" w:cs="Arial"/>
          <w:color w:val="000000"/>
          <w:kern w:val="0"/>
          <w:sz w:val="24"/>
          <w:szCs w:val="24"/>
          <w:lang w:val="es-ES"/>
          <w14:ligatures w14:val="none"/>
        </w:rPr>
        <w:t>Habbal</w:t>
      </w:r>
      <w:proofErr w:type="spellEnd"/>
      <w:r w:rsidRPr="00AB13D0">
        <w:rPr>
          <w:rFonts w:ascii="Arial" w:hAnsi="Arial" w:cs="Arial"/>
          <w:color w:val="000000"/>
          <w:kern w:val="0"/>
          <w:sz w:val="24"/>
          <w:szCs w:val="24"/>
          <w:lang w:val="es-ES"/>
          <w14:ligatures w14:val="none"/>
        </w:rPr>
        <w:t xml:space="preserve"> y otros Vs. Argentina, 2021, párr. 108).</w:t>
      </w:r>
    </w:p>
    <w:p w14:paraId="13C9BF5E"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03616AD1" w14:textId="1E7F46BF"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En el presente caso, las víctimas no contaron con un recurso judicial efectivo contra los actos violatorios de sus derechos. Sobre este punto, aunque el Estado Peruano sostiene que las presuntas víctimas habrían podido acudir a la jurisdicción contencioso administrativa, el contexto generalizado de ineficacia de las instituciones judiciales y de ausencia de garantías de independencia e imparcialidad implica que dicha posibilidad era ilusoria.</w:t>
      </w:r>
    </w:p>
    <w:p w14:paraId="4B4B8B4C"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lastRenderedPageBreak/>
        <w:t>Al respecto, la Corte Interamericana de Derechos Humanos, en la sentencia en comento, expone que dicho contexto de violación de derechos fundamentales se extendió, al menos, hasta junio de 2001, fecha en la cual, mediante la Ley No. 27487 (2001), se derogaron las normas que autorizaron los ceses colectivos, en este caso, el Decreto Ley No. 25640 de 1992 (Ley No. 27487, 2001; El artículo 9 del Decreto Ley 25640, 1992). Esta norma, a su vez, estableció la improcedencia de la acción de amparo para impugnar directa o indirectamente su aplicación.</w:t>
      </w:r>
    </w:p>
    <w:p w14:paraId="6B02DD94"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2C2BC55E" w14:textId="3DBF328B"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Sin perjuicio de ello, el Estado Peruano también sostuvo que las presuntas víctimas podían acudir a la acción popular. Sin embargo, se advierte que la sola existencia de la prohibición hacía que no fuera exigible a los trabajadores cesados iniciar esta vía. Por tanto, hicieron que el recurso de amparo no fuera un recurso judicial efectivo, con lo que se contravino el artículo 25.1 de la Convención.</w:t>
      </w:r>
    </w:p>
    <w:p w14:paraId="3232DABF"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263F6A10" w14:textId="67FB63DC"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No obstante, aunque el recurso de amparo fue formalmente admitido, no se trató de un recurso efectivo, pues los jueces del Poder Judicial Peruano a cargo no analizaron el fondo de los alegatos de las presuntas víctimas. Declararon el amparo improcedente bajo el argumento de que esta no era la vía idónea para resolver las pretensiones por carecer de etapa probatoria. Así, el Poder Judicial sostuvo que: “solo cabía el raciocinio lógico jurídico del operador judicial el cual se limitaba a restablecer el derecho conculcado” (Decisión del Segundo Juzgado especializado en Derecho Público, 2001).</w:t>
      </w:r>
    </w:p>
    <w:p w14:paraId="386C6ABD"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69D4A327" w14:textId="63FE9379"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Por su parte, el Tribunal Constitucional Peruano, al resolver el recurso extraordinario, confirmó la sentencia del Poder Judicial, pero con el argumento de que "al expedirse la Constitución de 1993, la estructura orgánica del Congreso y, por ende, su Cuadro de Asignación de Personal variaron sustancialmente, por lo que no era posible por la vía del amparo reponer las cosas al estado anterior a la agresión, por cuanto esta ha devenido en irreparable" (Tribunal Constitucional, s.f.).</w:t>
      </w:r>
    </w:p>
    <w:p w14:paraId="033A9376"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1D8409FA" w14:textId="3247B013"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El máximo intérprete de la Constitución en uso de las atribuciones conferidas por la Constitución Política del Perú y su Ley Orgánica, falló confirmando lo expuesto por el Poder Judicial, es decir, reconoció que hubo una violación de los derechos de los accionantes y, pese a ello, declaró improcedente el amparo. En consecuencia, dicha acción no constituyó un recurso efectivo que amparara a los trabajadores cesados frente a un acto violatorio de sus derechos, existiendo una flagrante violación del artículo 25.1 de la Convención.</w:t>
      </w:r>
    </w:p>
    <w:p w14:paraId="6AAA385C" w14:textId="77777777"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p>
    <w:p w14:paraId="6D7F8A7E" w14:textId="7937BF13" w:rsidR="00F20CE5" w:rsidRPr="00AB13D0" w:rsidRDefault="00F20CE5" w:rsidP="00F20CE5">
      <w:pPr>
        <w:autoSpaceDE w:val="0"/>
        <w:autoSpaceDN w:val="0"/>
        <w:adjustRightInd w:val="0"/>
        <w:spacing w:after="0" w:line="240" w:lineRule="auto"/>
        <w:jc w:val="both"/>
        <w:rPr>
          <w:rFonts w:ascii="Arial" w:hAnsi="Arial" w:cs="Arial"/>
          <w:color w:val="000000"/>
          <w:kern w:val="0"/>
          <w:sz w:val="24"/>
          <w:szCs w:val="24"/>
          <w:lang w:val="es-ES"/>
          <w14:ligatures w14:val="none"/>
        </w:rPr>
      </w:pPr>
      <w:r w:rsidRPr="00AB13D0">
        <w:rPr>
          <w:rFonts w:ascii="Arial" w:hAnsi="Arial" w:cs="Arial"/>
          <w:color w:val="000000"/>
          <w:kern w:val="0"/>
          <w:sz w:val="24"/>
          <w:szCs w:val="24"/>
          <w:lang w:val="es-ES"/>
          <w14:ligatures w14:val="none"/>
        </w:rPr>
        <w:t>Por tanto, la Corte Interamericana de Derechos Humanos concluyó que las personas a las que se refiere en el desarrollo de su sentencia fueron víctimas de la violación de sus derechos a ser oídos con las debidas garantías y dentro de un plazo razonable, por un juez competente, independiente e imparcial. También se violó su derecho a contar con un recurso sencillo y rápido ante jueces o tribunales competentes, lo cual está contenido en los artículos 8.1 y 25.1 de la Convención Americana, en relación con las obligaciones de respetar y garantizar los derechos contenidas en el artículo 1.1 de la misma Convención.</w:t>
      </w:r>
    </w:p>
    <w:p w14:paraId="69BA76F6" w14:textId="5C598642" w:rsidR="007F0B39" w:rsidRPr="00AB13D0" w:rsidRDefault="007F0B39" w:rsidP="00F20CE5">
      <w:pPr>
        <w:autoSpaceDE w:val="0"/>
        <w:autoSpaceDN w:val="0"/>
        <w:adjustRightInd w:val="0"/>
        <w:spacing w:after="0" w:line="240" w:lineRule="auto"/>
        <w:jc w:val="both"/>
        <w:rPr>
          <w:rFonts w:ascii="Arial" w:hAnsi="Arial" w:cs="Arial"/>
          <w:lang w:val="es-ES"/>
        </w:rPr>
      </w:pPr>
      <w:r w:rsidRPr="00AB13D0">
        <w:rPr>
          <w:rFonts w:ascii="Arial" w:hAnsi="Arial" w:cs="Arial"/>
          <w:color w:val="000000"/>
          <w:kern w:val="0"/>
          <w:sz w:val="24"/>
          <w:szCs w:val="24"/>
          <w:lang w:val="es-ES"/>
          <w14:ligatures w14:val="none"/>
        </w:rPr>
        <w:t xml:space="preserve"> </w:t>
      </w:r>
    </w:p>
    <w:p w14:paraId="34B573C2" w14:textId="2FCFCC3A"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lastRenderedPageBreak/>
        <w:t>CAPITULO III</w:t>
      </w:r>
    </w:p>
    <w:p w14:paraId="30269B57"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t xml:space="preserve">VIOLACION AL DERECHO AL TRABAJO </w:t>
      </w:r>
    </w:p>
    <w:p w14:paraId="5422257B" w14:textId="77777777" w:rsidR="007F0B39" w:rsidRPr="00AB13D0" w:rsidRDefault="007F0B39" w:rsidP="007F0B39">
      <w:pPr>
        <w:spacing w:line="240" w:lineRule="auto"/>
        <w:jc w:val="both"/>
        <w:rPr>
          <w:rFonts w:ascii="Arial" w:hAnsi="Arial" w:cs="Arial"/>
          <w:b/>
          <w:bCs/>
          <w:sz w:val="24"/>
          <w:szCs w:val="24"/>
        </w:rPr>
      </w:pPr>
    </w:p>
    <w:p w14:paraId="017B2ACC"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 xml:space="preserve">Debemos precisar que los derechos económicos, sociales, culturales y ambientales (DESCA) han sido reconocidos y protegidos a través del artículo 26 de la Convención Americana sobre Derechos Humanos (Acevedo Buendía y otros, 2006, </w:t>
      </w:r>
      <w:proofErr w:type="spellStart"/>
      <w:r w:rsidRPr="00AB13D0">
        <w:rPr>
          <w:rFonts w:ascii="Arial" w:hAnsi="Arial" w:cs="Arial"/>
          <w:kern w:val="0"/>
          <w:sz w:val="24"/>
          <w:szCs w:val="24"/>
          <w:lang w:val="es-ES"/>
          <w14:ligatures w14:val="none"/>
        </w:rPr>
        <w:t>párrs</w:t>
      </w:r>
      <w:proofErr w:type="spellEnd"/>
      <w:r w:rsidRPr="00AB13D0">
        <w:rPr>
          <w:rFonts w:ascii="Arial" w:hAnsi="Arial" w:cs="Arial"/>
          <w:kern w:val="0"/>
          <w:sz w:val="24"/>
          <w:szCs w:val="24"/>
          <w:lang w:val="es-ES"/>
          <w14:ligatures w14:val="none"/>
        </w:rPr>
        <w:t xml:space="preserve">. 97–103; Lagos del Campo, 2017, </w:t>
      </w:r>
      <w:proofErr w:type="spellStart"/>
      <w:r w:rsidRPr="00AB13D0">
        <w:rPr>
          <w:rFonts w:ascii="Arial" w:hAnsi="Arial" w:cs="Arial"/>
          <w:kern w:val="0"/>
          <w:sz w:val="24"/>
          <w:szCs w:val="24"/>
          <w:lang w:val="es-ES"/>
          <w14:ligatures w14:val="none"/>
        </w:rPr>
        <w:t>párrs</w:t>
      </w:r>
      <w:proofErr w:type="spellEnd"/>
      <w:r w:rsidRPr="00AB13D0">
        <w:rPr>
          <w:rFonts w:ascii="Arial" w:hAnsi="Arial" w:cs="Arial"/>
          <w:kern w:val="0"/>
          <w:sz w:val="24"/>
          <w:szCs w:val="24"/>
          <w:lang w:val="es-ES"/>
          <w14:ligatures w14:val="none"/>
        </w:rPr>
        <w:t xml:space="preserve">. 142, 154; Trabajadores Cesados de Petroperú y otros, 2019, párr. 192). La revisión de la jurisprudencia de la Corte Interamericana de Derechos Humanos (Corte IDH) demuestra una interpretación literal, sistemática, teleológica y evolutiva respecto al alcance de su competencia. </w:t>
      </w:r>
    </w:p>
    <w:p w14:paraId="544DD179"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53A4D0BB" w14:textId="6D258AE1"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Esto permite concluir que el artículo 26 de la Convención protege aquellos derechos que se derivan de las normas económicas, sociales y de educación, ciencia y cultura contenidas en la Carta de la Organización de Estados Americanos (OEA). De igual modo, reconoce que los alcances de estos derechos deben ser entendidos en relación con el resto de las cláusulas de la Convención Americana, por lo que están sujetos a las obligaciones generales contenidas en los artículos 1.1 y 2 y pueden ser objeto de supervisión por parte de la Corte hacia los países miembros.</w:t>
      </w:r>
    </w:p>
    <w:p w14:paraId="2550868A"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74E87444" w14:textId="4869FE60"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Asimismo, la revisión de la jurisprudencia de la Corte IDH establece que dichos derechos se fundamentan no solo en cuestiones formales, sino que son resultado de la interdependencia e indivisibilidad de los derechos civiles y políticos y los DESCA (Lagos del Campo, 2017, párr. 141), así como de su compatibilidad con el objeto y fin de la Convención, que es la protección de los derechos fundamentales de los seres humanos.</w:t>
      </w:r>
    </w:p>
    <w:p w14:paraId="241C61FC"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28118EEC"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 xml:space="preserve">En el presente caso, frente a una vulneración del derecho fundamental al trabajo por parte del Estado Peruano, la Corte IDH ha sostenido que este es un derecho protegido por el artículo 26 de la Convención (Lagos del Campo, 2017, párr. 145; Trabajadores Cesados de Petroperú y otros, 2019, párr. 192). Esto concuerda con los artículos 45.b y c, 46 y 34.g de la Carta de la OEA. </w:t>
      </w:r>
    </w:p>
    <w:p w14:paraId="7D1F83BB"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56144EEC" w14:textId="1A0AB3D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Estos instrumentos establecen una serie de normas que permiten identificar el derecho al trabajo, definiéndolo como “un derecho y un deber social, otorga dignidad a quien lo realiza y debe prestarse en condiciones que, incluyendo un régimen de salarios justos, aseguren la vida, la salud y un nivel económico decoroso para el trabajador y su familia, tanto en sus años de trabajo como en su vejez, o cuando cualquier circunstancia lo prive de la posibilidad de trabajar” (Carta de la OEA, s.f.). Asimismo, este derecho se encuentra prescrito en el artículo XIV de la Declaración Americana de los Derechos y Deberes del Hombre, que precisa que “toda persona tiene derecho al trabajo en condiciones dignas y a seguir libremente su vocación”.</w:t>
      </w:r>
    </w:p>
    <w:p w14:paraId="52B247E9"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6424A65F" w14:textId="4C361AE3"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 xml:space="preserve">De igual forma, el artículo 6 del Protocolo de San Salvador establece que “toda persona tiene derecho al trabajo, el cual incluye la oportunidad de obtener los </w:t>
      </w:r>
      <w:r w:rsidRPr="00AB13D0">
        <w:rPr>
          <w:rFonts w:ascii="Arial" w:hAnsi="Arial" w:cs="Arial"/>
          <w:kern w:val="0"/>
          <w:sz w:val="24"/>
          <w:szCs w:val="24"/>
          <w:lang w:val="es-ES"/>
          <w14:ligatures w14:val="none"/>
        </w:rPr>
        <w:lastRenderedPageBreak/>
        <w:t>medios para llevar una vida digna y decorosa a través del desempeño de una actividad lícita libremente escogida o aceptada”.</w:t>
      </w:r>
    </w:p>
    <w:p w14:paraId="1A82DC5D"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7C99070C"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 xml:space="preserve">Por su parte, el Comité de Derechos Económicos, Sociales y Culturales, en su Observación General No. 18 sobre el derecho al trabajo, afirmó la obligación de los Estados “de garantizar a las personas su derecho al trabajo libremente elegido o aceptado, en particular el derecho a no ser privado de trabajo de forma injusta” (Comité de Derechos Económicos, Sociales y Culturales, 2005, párr. 4). </w:t>
      </w:r>
    </w:p>
    <w:p w14:paraId="27EE2EB7"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6D0F8744" w14:textId="15B04FB2"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El mismo Comité estableció que los Estados tienen la obligación de respetar este derecho, lo que implica “abstenerse de interferir directa o indirectamente en [su] disfrute” (Comité de Derechos Económicos, Sociales y Culturales, 2005, párr. 22).</w:t>
      </w:r>
    </w:p>
    <w:p w14:paraId="74F75FE7"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07C5261B" w14:textId="7782EE28"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Aunado a lo anterior, la estabilidad laboral, como componente del derecho al trabajo, no está orientada a la permanencia irrestricta en el puesto. La Corte Interamericana ha precisado que se garantiza, entre otros aspectos, otorgando las debidas garantías de protección al trabajador para que, en caso de despido o separación, este se haga bajo causas justificadas. Esto implica que el empleador debe acreditar razones suficientes y otorgar las debidas garantías, además de que el trabajador pueda recurrir tal decisión ante las autoridades internas, quienes deben verificar que las causales imputadas no sean arbitrarias o contrarias a derecho (Lagos del Campo, 2017, párr. 150; Mina Cuero Vs. Ecuador, 2017, párr. 134).</w:t>
      </w:r>
    </w:p>
    <w:p w14:paraId="611DE2D3"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31538A97" w14:textId="512705FF"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En tal virtud, en el presente caso la Corte Interamericana ha concluido que el Estado Peruano procedió de manera arbitraria al declarar el cese en el empleo de los ex-trabajadores del Congreso de la República, pues fueron retirados de sus trabajos sin que se acreditaran razones justificadas y se les prohibió acceder a la acción de amparo para cuestionar sus ceses. Esto constituye una violación del artículo 26 de la Convención, en relación con el artículo 1.1 del mismo instrumento.</w:t>
      </w:r>
    </w:p>
    <w:p w14:paraId="02BB19B3" w14:textId="77777777"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p>
    <w:p w14:paraId="6CF87FD8" w14:textId="529394AA" w:rsidR="005F632E" w:rsidRPr="00AB13D0" w:rsidRDefault="005F632E" w:rsidP="005F632E">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Asimismo, la Corte Interamericana ha estimado que el cese en el empleo constituyó una vulneración a la estabilidad laboral como componente del derecho al trabajo del cual eran titulares. Como consecuencia, el Estado Peruano violó el artículo 26 de la Convención Americana, en relación con las obligaciones de respetar y garantizar los derechos contenidas en el artículo 1.1 de la Convención.</w:t>
      </w:r>
    </w:p>
    <w:p w14:paraId="1A3811F3" w14:textId="77777777" w:rsidR="00F20CE5" w:rsidRPr="00AB13D0" w:rsidRDefault="00F20CE5" w:rsidP="007F0B39">
      <w:pPr>
        <w:autoSpaceDE w:val="0"/>
        <w:autoSpaceDN w:val="0"/>
        <w:adjustRightInd w:val="0"/>
        <w:spacing w:after="0" w:line="240" w:lineRule="auto"/>
        <w:jc w:val="both"/>
        <w:rPr>
          <w:rFonts w:ascii="Arial" w:hAnsi="Arial" w:cs="Arial"/>
          <w:kern w:val="0"/>
          <w:sz w:val="24"/>
          <w:szCs w:val="24"/>
          <w:lang w:val="es-ES"/>
          <w14:ligatures w14:val="none"/>
        </w:rPr>
      </w:pPr>
    </w:p>
    <w:p w14:paraId="067DBB66" w14:textId="4001A587" w:rsidR="007F0B39" w:rsidRPr="00AB13D0" w:rsidRDefault="007F0B39" w:rsidP="007F0B39">
      <w:pPr>
        <w:autoSpaceDE w:val="0"/>
        <w:autoSpaceDN w:val="0"/>
        <w:adjustRightInd w:val="0"/>
        <w:spacing w:after="0" w:line="240" w:lineRule="auto"/>
        <w:jc w:val="both"/>
        <w:rPr>
          <w:rFonts w:ascii="Arial" w:hAnsi="Arial" w:cs="Arial"/>
          <w:kern w:val="0"/>
          <w:sz w:val="24"/>
          <w:szCs w:val="24"/>
          <w:lang w:val="es-ES"/>
          <w14:ligatures w14:val="none"/>
        </w:rPr>
      </w:pPr>
      <w:r w:rsidRPr="00AB13D0">
        <w:rPr>
          <w:rFonts w:ascii="Arial" w:hAnsi="Arial" w:cs="Arial"/>
          <w:kern w:val="0"/>
          <w:sz w:val="24"/>
          <w:szCs w:val="24"/>
          <w:lang w:val="es-ES"/>
          <w14:ligatures w14:val="none"/>
        </w:rPr>
        <w:t xml:space="preserve"> </w:t>
      </w:r>
    </w:p>
    <w:p w14:paraId="10053412"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t>CAPITULO IV</w:t>
      </w:r>
    </w:p>
    <w:p w14:paraId="32AB57BA" w14:textId="77777777" w:rsidR="007F0B39" w:rsidRPr="00AB13D0" w:rsidRDefault="007F0B39" w:rsidP="007F0B39">
      <w:pPr>
        <w:spacing w:line="240" w:lineRule="auto"/>
        <w:jc w:val="center"/>
        <w:rPr>
          <w:rFonts w:ascii="Arial" w:hAnsi="Arial" w:cs="Arial"/>
          <w:b/>
          <w:bCs/>
          <w:sz w:val="24"/>
          <w:szCs w:val="24"/>
        </w:rPr>
      </w:pPr>
      <w:r w:rsidRPr="00AB13D0">
        <w:rPr>
          <w:rFonts w:ascii="Arial" w:hAnsi="Arial" w:cs="Arial"/>
          <w:b/>
          <w:bCs/>
          <w:sz w:val="24"/>
          <w:szCs w:val="24"/>
        </w:rPr>
        <w:t xml:space="preserve">VIOLACION A LOS DERECHOS POLITICOS </w:t>
      </w:r>
    </w:p>
    <w:p w14:paraId="72515575" w14:textId="77777777" w:rsidR="007F0B39" w:rsidRPr="00AB13D0" w:rsidRDefault="007F0B39" w:rsidP="007F0B39">
      <w:pPr>
        <w:spacing w:line="240" w:lineRule="auto"/>
        <w:jc w:val="both"/>
        <w:rPr>
          <w:rFonts w:ascii="Arial" w:hAnsi="Arial" w:cs="Arial"/>
          <w:b/>
          <w:bCs/>
          <w:sz w:val="24"/>
          <w:szCs w:val="24"/>
        </w:rPr>
      </w:pPr>
    </w:p>
    <w:p w14:paraId="299A65F8" w14:textId="77777777" w:rsidR="005F632E" w:rsidRPr="00AB13D0" w:rsidRDefault="005F632E" w:rsidP="005F632E">
      <w:pPr>
        <w:pStyle w:val="Default"/>
        <w:jc w:val="both"/>
        <w:rPr>
          <w:rFonts w:ascii="Arial" w:hAnsi="Arial" w:cs="Arial"/>
          <w:lang w:val="es-ES"/>
        </w:rPr>
      </w:pPr>
      <w:r w:rsidRPr="00AB13D0">
        <w:rPr>
          <w:rFonts w:ascii="Arial" w:hAnsi="Arial" w:cs="Arial"/>
          <w:lang w:val="es-ES"/>
        </w:rPr>
        <w:t>En relación con este apartado, se cita lo dispuesto en el artículo 23.1 c) de la Convención Americana sobre Derechos Humanos, que establece el derecho a acceder a funciones públicas en condiciones generales de igualdad.</w:t>
      </w:r>
    </w:p>
    <w:p w14:paraId="23469158" w14:textId="77777777" w:rsidR="005F632E" w:rsidRPr="00AB13D0" w:rsidRDefault="005F632E" w:rsidP="005F632E">
      <w:pPr>
        <w:pStyle w:val="Default"/>
        <w:jc w:val="both"/>
        <w:rPr>
          <w:rFonts w:ascii="Arial" w:hAnsi="Arial" w:cs="Arial"/>
          <w:lang w:val="es-ES"/>
        </w:rPr>
      </w:pPr>
      <w:r w:rsidRPr="00AB13D0">
        <w:rPr>
          <w:rFonts w:ascii="Arial" w:hAnsi="Arial" w:cs="Arial"/>
          <w:lang w:val="es-ES"/>
        </w:rPr>
        <w:t xml:space="preserve">La Corte Interamericana de Derechos Humanos (Corte IDH) ha interpretado que el acceso en condiciones de igualdad es una garantía insuficiente si no está </w:t>
      </w:r>
      <w:r w:rsidRPr="00AB13D0">
        <w:rPr>
          <w:rFonts w:ascii="Arial" w:hAnsi="Arial" w:cs="Arial"/>
          <w:lang w:val="es-ES"/>
        </w:rPr>
        <w:lastRenderedPageBreak/>
        <w:t xml:space="preserve">acompañada por la protección efectiva de la permanencia en aquello a lo que se accede. Esto implica que los procedimientos de nombramiento, ascenso, suspensión y destitución de funcionarios públicos deben ser objetivos y razonables, es decir, deben respetar las garantías del debido proceso (Caso Moya Solís Vs. Perú, 2021, párr. 108; Caso Cuya </w:t>
      </w:r>
      <w:proofErr w:type="spellStart"/>
      <w:r w:rsidRPr="00AB13D0">
        <w:rPr>
          <w:rFonts w:ascii="Arial" w:hAnsi="Arial" w:cs="Arial"/>
          <w:lang w:val="es-ES"/>
        </w:rPr>
        <w:t>Lavy</w:t>
      </w:r>
      <w:proofErr w:type="spellEnd"/>
      <w:r w:rsidRPr="00AB13D0">
        <w:rPr>
          <w:rFonts w:ascii="Arial" w:hAnsi="Arial" w:cs="Arial"/>
          <w:lang w:val="es-ES"/>
        </w:rPr>
        <w:t xml:space="preserve"> y otros Vs. Perú, 2018, párr. 159). La Corte IDH se ha pronunciado de manera reiterada sobre este derecho en relación con procesos de destitución de funcionarios públicos y ha considerado que se relaciona con la garantía de estabilidad o inamovilidad en el cargo (Caso Reverón Trujillo Vs. Venezuela, 2009, párr. 138; Caso Mina Cuero Vs. Ecuador, 2017, párr. 135).</w:t>
      </w:r>
    </w:p>
    <w:p w14:paraId="4970591F" w14:textId="77777777" w:rsidR="005F632E" w:rsidRPr="00AB13D0" w:rsidRDefault="005F632E" w:rsidP="005F632E">
      <w:pPr>
        <w:pStyle w:val="Default"/>
        <w:jc w:val="both"/>
        <w:rPr>
          <w:rFonts w:ascii="Arial" w:hAnsi="Arial" w:cs="Arial"/>
          <w:lang w:val="es-ES"/>
        </w:rPr>
      </w:pPr>
    </w:p>
    <w:p w14:paraId="6542A3ED" w14:textId="1C50238B" w:rsidR="005F632E" w:rsidRPr="00AB13D0" w:rsidRDefault="005F632E" w:rsidP="005F632E">
      <w:pPr>
        <w:pStyle w:val="Default"/>
        <w:jc w:val="both"/>
        <w:rPr>
          <w:rFonts w:ascii="Arial" w:hAnsi="Arial" w:cs="Arial"/>
          <w:lang w:val="es-ES"/>
        </w:rPr>
      </w:pPr>
      <w:r w:rsidRPr="00AB13D0">
        <w:rPr>
          <w:rFonts w:ascii="Arial" w:hAnsi="Arial" w:cs="Arial"/>
          <w:lang w:val="es-ES"/>
        </w:rPr>
        <w:t>Asimismo, la Corte IDH advierte que las garantías contenidas en el artículo 23.1 c) de la Convención Americana de Derechos Humanos son aplicables a todos quienes ejercen funciones públicas. Por ello, cuando se afecta de forma arbitraria la permanencia de una persona en el ejercicio de ese tipo de funciones, se desconocen sus derechos políticos.</w:t>
      </w:r>
    </w:p>
    <w:p w14:paraId="0C392F39" w14:textId="77777777" w:rsidR="005F632E" w:rsidRPr="00AB13D0" w:rsidRDefault="005F632E" w:rsidP="005F632E">
      <w:pPr>
        <w:pStyle w:val="Default"/>
        <w:jc w:val="both"/>
        <w:rPr>
          <w:rFonts w:ascii="Arial" w:hAnsi="Arial" w:cs="Arial"/>
          <w:lang w:val="es-ES"/>
        </w:rPr>
      </w:pPr>
    </w:p>
    <w:p w14:paraId="7A4DABF3" w14:textId="4A286247" w:rsidR="005F632E" w:rsidRPr="00AB13D0" w:rsidRDefault="005F632E" w:rsidP="005F632E">
      <w:pPr>
        <w:pStyle w:val="Default"/>
        <w:jc w:val="both"/>
        <w:rPr>
          <w:rFonts w:ascii="Arial" w:hAnsi="Arial" w:cs="Arial"/>
          <w:lang w:val="es-ES"/>
        </w:rPr>
      </w:pPr>
      <w:r w:rsidRPr="00AB13D0">
        <w:rPr>
          <w:rFonts w:ascii="Arial" w:hAnsi="Arial" w:cs="Arial"/>
          <w:lang w:val="es-ES"/>
        </w:rPr>
        <w:t xml:space="preserve">Estando a lo expuesto, y en aplicación del principio </w:t>
      </w:r>
      <w:proofErr w:type="spellStart"/>
      <w:r w:rsidRPr="00AB13D0">
        <w:rPr>
          <w:rFonts w:ascii="Arial" w:hAnsi="Arial" w:cs="Arial"/>
          <w:i/>
          <w:iCs/>
          <w:lang w:val="es-ES"/>
        </w:rPr>
        <w:t>iura</w:t>
      </w:r>
      <w:proofErr w:type="spellEnd"/>
      <w:r w:rsidRPr="00AB13D0">
        <w:rPr>
          <w:rFonts w:ascii="Arial" w:hAnsi="Arial" w:cs="Arial"/>
          <w:i/>
          <w:iCs/>
          <w:lang w:val="es-ES"/>
        </w:rPr>
        <w:t xml:space="preserve"> </w:t>
      </w:r>
      <w:proofErr w:type="spellStart"/>
      <w:r w:rsidRPr="00AB13D0">
        <w:rPr>
          <w:rFonts w:ascii="Arial" w:hAnsi="Arial" w:cs="Arial"/>
          <w:i/>
          <w:iCs/>
          <w:lang w:val="es-ES"/>
        </w:rPr>
        <w:t>novit</w:t>
      </w:r>
      <w:proofErr w:type="spellEnd"/>
      <w:r w:rsidRPr="00AB13D0">
        <w:rPr>
          <w:rFonts w:ascii="Arial" w:hAnsi="Arial" w:cs="Arial"/>
          <w:i/>
          <w:iCs/>
          <w:lang w:val="es-ES"/>
        </w:rPr>
        <w:t xml:space="preserve"> curia</w:t>
      </w:r>
      <w:r w:rsidRPr="00AB13D0">
        <w:rPr>
          <w:rFonts w:ascii="Arial" w:hAnsi="Arial" w:cs="Arial"/>
          <w:lang w:val="es-ES"/>
        </w:rPr>
        <w:t>, la Corte Interamericana ha concluido que la desvinculación de las 184 personas identificadas para efectos de esta Sentencia implica un desconocimiento y vulneración de las garantías del debido proceso por parte del Estado peruano, lo que afectó la permanencia en sus cargos. Además, ha resuelto que el Estado Peruano afectó indebidamente los derechos de las presuntas víctimas a permanecer en el cargo en condiciones de igualdad, en violación del derecho consagrado en el artículo 23.1 c) de la Convención Americana, en relación con el artículo 1.1 de la misma.</w:t>
      </w:r>
    </w:p>
    <w:p w14:paraId="003314F4" w14:textId="77777777" w:rsidR="005F632E" w:rsidRPr="00AB13D0" w:rsidRDefault="005F632E" w:rsidP="005F632E">
      <w:pPr>
        <w:pStyle w:val="Default"/>
        <w:jc w:val="both"/>
        <w:rPr>
          <w:rFonts w:ascii="Arial" w:hAnsi="Arial" w:cs="Arial"/>
          <w:lang w:val="es-ES"/>
        </w:rPr>
      </w:pPr>
    </w:p>
    <w:p w14:paraId="10CA928D" w14:textId="5EB927A7" w:rsidR="005F632E" w:rsidRPr="00AB13D0" w:rsidRDefault="005F632E" w:rsidP="005F632E">
      <w:pPr>
        <w:pStyle w:val="Default"/>
        <w:jc w:val="both"/>
        <w:rPr>
          <w:rFonts w:ascii="Arial" w:hAnsi="Arial" w:cs="Arial"/>
          <w:lang w:val="es-ES"/>
        </w:rPr>
      </w:pPr>
      <w:r w:rsidRPr="00AB13D0">
        <w:rPr>
          <w:rFonts w:ascii="Arial" w:hAnsi="Arial" w:cs="Arial"/>
          <w:lang w:val="es-ES"/>
        </w:rPr>
        <w:t>La Corte refiere adicionalmente que su rol es ejercer la potestad subsidiaria de la jurisdicción internacional. Este rol implica que el sistema de protección instaurado por la Convención Americana no sustituye en ningún caso a las jurisdicciones nacionales, sino que las complementa (Caso Tarazona Arrieta y Otros Vs. Perú, 2014, párr. 137; Caso Vera Rojas y otros Vs. Chile, 2018, párr. 138).</w:t>
      </w:r>
    </w:p>
    <w:p w14:paraId="140DAE2C" w14:textId="77777777" w:rsidR="005F632E" w:rsidRPr="00AB13D0" w:rsidRDefault="005F632E" w:rsidP="005F632E">
      <w:pPr>
        <w:pStyle w:val="Default"/>
        <w:jc w:val="both"/>
        <w:rPr>
          <w:rFonts w:ascii="Arial" w:hAnsi="Arial" w:cs="Arial"/>
          <w:lang w:val="es-ES"/>
        </w:rPr>
      </w:pPr>
    </w:p>
    <w:p w14:paraId="4664D5B5" w14:textId="42B77B9A" w:rsidR="005F632E" w:rsidRPr="00AB13D0" w:rsidRDefault="005F632E" w:rsidP="005F632E">
      <w:pPr>
        <w:pStyle w:val="Default"/>
        <w:jc w:val="both"/>
        <w:rPr>
          <w:rFonts w:ascii="Arial" w:hAnsi="Arial" w:cs="Arial"/>
          <w:lang w:val="es-ES"/>
        </w:rPr>
      </w:pPr>
      <w:r w:rsidRPr="00AB13D0">
        <w:rPr>
          <w:rFonts w:ascii="Arial" w:hAnsi="Arial" w:cs="Arial"/>
          <w:lang w:val="es-ES"/>
        </w:rPr>
        <w:t>De esta manera, el Estado Peruano es el principal garante de los derechos de las personas. Por ello, si se produce un acto violatorio de dichos derechos, es el Estado quien debe resolver el asunto a nivel interno y, de ser el caso, reparar, antes de tener que responder ante instancias internacionales.</w:t>
      </w:r>
    </w:p>
    <w:p w14:paraId="7A33E97E" w14:textId="77777777" w:rsidR="005F632E" w:rsidRPr="00AB13D0" w:rsidRDefault="005F632E" w:rsidP="005F632E">
      <w:pPr>
        <w:pStyle w:val="Default"/>
        <w:jc w:val="both"/>
        <w:rPr>
          <w:rFonts w:ascii="Arial" w:hAnsi="Arial" w:cs="Arial"/>
          <w:lang w:val="es-ES"/>
        </w:rPr>
      </w:pPr>
    </w:p>
    <w:p w14:paraId="25675A38" w14:textId="6BDF8D12" w:rsidR="005F632E" w:rsidRPr="00AB13D0" w:rsidRDefault="005F632E" w:rsidP="005F632E">
      <w:pPr>
        <w:pStyle w:val="Default"/>
        <w:jc w:val="both"/>
        <w:rPr>
          <w:rFonts w:ascii="Arial" w:hAnsi="Arial" w:cs="Arial"/>
          <w:lang w:val="es-ES"/>
        </w:rPr>
      </w:pPr>
      <w:r w:rsidRPr="00AB13D0">
        <w:rPr>
          <w:rFonts w:ascii="Arial" w:hAnsi="Arial" w:cs="Arial"/>
          <w:lang w:val="es-ES"/>
        </w:rPr>
        <w:t>Aunado a ello, en atención al principio de complementariedad, la Corte Interamericana ha propugnado que, para declarar la improcedencia de las reparaciones solicitadas ante la Corte, no basta con que el Estado reconozca que estas ya han sido otorgadas o que pueden serlo a través de los recursos administrativos o judiciales disponibles a nivel interno. Se debe evaluar si el Estado Peruano efectivamente reparó las consecuencias de la medida o situación que configuró la vulneración de derechos humanos en cada caso en concreto, y si estas reparaciones son adecuadas, o si existen garantías de que los mecanismos de reparación interna son suficientes (Caso Masacre de Santo Domingo Vs. Colombia, 2012, párr. 143; Caso Trabajadores Cesados de Petroperú y otros Vs. Perú, 2019, párr. 208).</w:t>
      </w:r>
    </w:p>
    <w:p w14:paraId="467C7CF9" w14:textId="77777777" w:rsidR="007F0B39" w:rsidRPr="00AB13D0" w:rsidRDefault="007F0B39" w:rsidP="007F0B39">
      <w:pPr>
        <w:spacing w:line="240" w:lineRule="auto"/>
        <w:ind w:right="-2"/>
        <w:jc w:val="both"/>
        <w:rPr>
          <w:rFonts w:ascii="Arial" w:hAnsi="Arial" w:cs="Arial"/>
          <w:b/>
          <w:bCs/>
          <w:sz w:val="24"/>
          <w:szCs w:val="24"/>
          <w:lang w:val="es-MX"/>
        </w:rPr>
      </w:pPr>
      <w:r w:rsidRPr="00AB13D0">
        <w:rPr>
          <w:rFonts w:ascii="Arial" w:hAnsi="Arial" w:cs="Arial"/>
          <w:b/>
          <w:bCs/>
          <w:sz w:val="24"/>
          <w:szCs w:val="24"/>
          <w:lang w:val="es-MX"/>
        </w:rPr>
        <w:lastRenderedPageBreak/>
        <w:t>CONCLUSIONES</w:t>
      </w:r>
    </w:p>
    <w:p w14:paraId="30D32583" w14:textId="77777777" w:rsidR="007F0B39" w:rsidRPr="00AB13D0" w:rsidRDefault="007F0B39" w:rsidP="007F0B39">
      <w:pPr>
        <w:pStyle w:val="Default"/>
        <w:jc w:val="both"/>
        <w:rPr>
          <w:rFonts w:ascii="Arial" w:hAnsi="Arial" w:cs="Arial"/>
          <w:lang w:val="es-MX"/>
        </w:rPr>
      </w:pPr>
    </w:p>
    <w:p w14:paraId="2F52F040" w14:textId="77777777" w:rsidR="007F0B39" w:rsidRPr="00AB13D0" w:rsidRDefault="007F0B39" w:rsidP="007F0B39">
      <w:pPr>
        <w:pStyle w:val="Default"/>
        <w:jc w:val="both"/>
        <w:rPr>
          <w:rFonts w:ascii="Arial" w:hAnsi="Arial" w:cs="Arial"/>
          <w:lang w:val="es-ES"/>
        </w:rPr>
      </w:pPr>
      <w:r w:rsidRPr="00AB13D0">
        <w:rPr>
          <w:rFonts w:ascii="Arial" w:hAnsi="Arial" w:cs="Arial"/>
          <w:lang w:val="es-MX"/>
        </w:rPr>
        <w:t>L</w:t>
      </w:r>
      <w:r w:rsidRPr="00AB13D0">
        <w:rPr>
          <w:rFonts w:ascii="Arial" w:hAnsi="Arial" w:cs="Arial"/>
          <w:lang w:val="es-ES"/>
        </w:rPr>
        <w:t xml:space="preserve">a Corte Interamericana de Derechos Humanos estableció bajo lo expuesto de la Sentencia en comento que a las personas víctimas de graves vulneraciones de derechos humanos por parte del Estado Peruano les fueron transgredidos sus derechos laborales, derecho al debido proceso, derecho a la tutela jurisdiccional efectiva y derechos políticos, en consecuencia, las Sentencias emitidas por el Tribunal Constitucional Peruano recaídas en los Expedientes No. 0796-1996-AA de fecha 13 de agosto de 1997, No. 00357-1997-AA de fecha 15 de octubre de 1997 y No. 717- 98-AA/TC de fecha 17 de marzo de 1999, son claramente inconstitucionales, desde mi punto objetivo de vista.   </w:t>
      </w:r>
    </w:p>
    <w:p w14:paraId="1BD7A30A" w14:textId="77777777" w:rsidR="007F0B39" w:rsidRPr="00AB13D0" w:rsidRDefault="007F0B39" w:rsidP="007F0B39">
      <w:pPr>
        <w:pStyle w:val="Default"/>
        <w:jc w:val="both"/>
        <w:rPr>
          <w:rFonts w:ascii="Arial" w:hAnsi="Arial" w:cs="Arial"/>
          <w:lang w:val="es-ES"/>
        </w:rPr>
      </w:pPr>
    </w:p>
    <w:p w14:paraId="3A967DAA"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En segundo lugar, se ha advertido que las personas víctimas de graves vulneraciones de derechos humanos por parte del Estado Peruano se enfrentaron a un contexto generalizado de ineficacia de las instituciones judiciales, de ausencia de garantías de independencia e imparcialidad y de falta de claridad sobre la vía a la cual acudir frente a los ceses laborales colectivos propugnados por un gobierno dictatorial y auto golpista, hecho que es recogido por las sentencias citadas en el parágrafo anterior y que, en consecuencia, constituyen una grave vulneración al sistema democrático de derecho. </w:t>
      </w:r>
    </w:p>
    <w:p w14:paraId="3A5FC417" w14:textId="77777777" w:rsidR="007F0B39" w:rsidRPr="00AB13D0" w:rsidRDefault="007F0B39" w:rsidP="007F0B39">
      <w:pPr>
        <w:pStyle w:val="Default"/>
        <w:jc w:val="both"/>
        <w:rPr>
          <w:rFonts w:ascii="Arial" w:hAnsi="Arial" w:cs="Arial"/>
          <w:lang w:val="es-ES"/>
        </w:rPr>
      </w:pPr>
    </w:p>
    <w:p w14:paraId="06F27E53"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Por su parte, en relación a las personas víctimas de graves vulneraciones de derechos humanos incoados por el Estado Peruano y que interpusieron además, la garantía constitucional de la acción de amparo, pese a la prohibición legal de esa época, la Corte Interamericana ha precisado que, aunque su recurso fue formalmente admitido, no fue efectivo, pues los jueces a cargo no analizaron el fondo de los alegatos, siendo que además, dicho proceso sobrepasó cualquier plazo que pudiera ser considerado razonable, siendo este otro elemento que criticamos contra las Sentencias citadas, las mismas que son claramente inconstitucionales. </w:t>
      </w:r>
    </w:p>
    <w:p w14:paraId="1FE4F312"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 xml:space="preserve"> </w:t>
      </w:r>
    </w:p>
    <w:p w14:paraId="2D4DC6DE" w14:textId="77777777" w:rsidR="007F0B39" w:rsidRPr="00AB13D0" w:rsidRDefault="007F0B39" w:rsidP="007F0B39">
      <w:pPr>
        <w:pStyle w:val="Default"/>
        <w:jc w:val="both"/>
        <w:rPr>
          <w:rFonts w:ascii="Arial" w:hAnsi="Arial" w:cs="Arial"/>
          <w:lang w:val="es-ES"/>
        </w:rPr>
      </w:pPr>
      <w:r w:rsidRPr="00AB13D0">
        <w:rPr>
          <w:rFonts w:ascii="Arial" w:hAnsi="Arial" w:cs="Arial"/>
          <w:lang w:val="es-ES"/>
        </w:rPr>
        <w:t>Finalmente, respecto a la vulneración de los derechos políticos, tenemos que las garantías contenidas por la Convención son aplicables a todas aquellas personas que ejerzan funciones públicas, en consecuencia, se evidencio que la desvinculación del empleo de las personas identificadas en la sentencia en comento, afectó de forma arbitraria la permanencia en sus cargos, y por lo tanto, el Estado Peruano violó sus derechos políticos, en particular el derecho a permanecer en el cargo en igualdad de condiciones.</w:t>
      </w:r>
    </w:p>
    <w:p w14:paraId="1BD2F783" w14:textId="77777777" w:rsidR="007F0B39" w:rsidRPr="00AB13D0" w:rsidRDefault="007F0B39" w:rsidP="007F0B39">
      <w:pPr>
        <w:pStyle w:val="Default"/>
        <w:jc w:val="both"/>
        <w:rPr>
          <w:rFonts w:ascii="Arial" w:hAnsi="Arial" w:cs="Arial"/>
          <w:b/>
          <w:bCs/>
          <w:lang w:val="es-MX"/>
        </w:rPr>
      </w:pPr>
    </w:p>
    <w:p w14:paraId="076E0D4C" w14:textId="77777777" w:rsidR="007F0B39" w:rsidRPr="00AB13D0" w:rsidRDefault="007F0B39" w:rsidP="007F0B39">
      <w:pPr>
        <w:pStyle w:val="Default"/>
        <w:jc w:val="both"/>
        <w:rPr>
          <w:rFonts w:ascii="Arial" w:hAnsi="Arial" w:cs="Arial"/>
          <w:b/>
          <w:bCs/>
          <w:lang w:val="es-MX"/>
        </w:rPr>
      </w:pPr>
    </w:p>
    <w:p w14:paraId="2400D2A2" w14:textId="77777777" w:rsidR="007F0B39" w:rsidRPr="00AB13D0" w:rsidRDefault="007F0B39" w:rsidP="007F0B39">
      <w:pPr>
        <w:pStyle w:val="Default"/>
        <w:jc w:val="both"/>
        <w:rPr>
          <w:rFonts w:ascii="Arial" w:hAnsi="Arial" w:cs="Arial"/>
          <w:b/>
          <w:bCs/>
          <w:lang w:val="es-MX"/>
        </w:rPr>
      </w:pPr>
    </w:p>
    <w:p w14:paraId="4E9D6944" w14:textId="77777777" w:rsidR="007F0B39" w:rsidRPr="00AB13D0" w:rsidRDefault="007F0B39" w:rsidP="007F0B39">
      <w:pPr>
        <w:pStyle w:val="Default"/>
        <w:jc w:val="both"/>
        <w:rPr>
          <w:rFonts w:ascii="Arial" w:hAnsi="Arial" w:cs="Arial"/>
          <w:b/>
          <w:bCs/>
          <w:lang w:val="es-MX"/>
        </w:rPr>
      </w:pPr>
    </w:p>
    <w:p w14:paraId="07DC3C6F" w14:textId="77777777" w:rsidR="007F0B39" w:rsidRPr="00AB13D0" w:rsidRDefault="007F0B39" w:rsidP="007F0B39">
      <w:pPr>
        <w:pStyle w:val="Default"/>
        <w:jc w:val="both"/>
        <w:rPr>
          <w:rFonts w:ascii="Arial" w:hAnsi="Arial" w:cs="Arial"/>
          <w:b/>
          <w:bCs/>
          <w:lang w:val="es-MX"/>
        </w:rPr>
      </w:pPr>
    </w:p>
    <w:p w14:paraId="270722ED" w14:textId="77777777" w:rsidR="007F0B39" w:rsidRPr="00AB13D0" w:rsidRDefault="007F0B39" w:rsidP="007F0B39">
      <w:pPr>
        <w:pStyle w:val="Default"/>
        <w:jc w:val="both"/>
        <w:rPr>
          <w:rFonts w:ascii="Arial" w:hAnsi="Arial" w:cs="Arial"/>
          <w:b/>
          <w:bCs/>
          <w:lang w:val="es-MX"/>
        </w:rPr>
      </w:pPr>
    </w:p>
    <w:p w14:paraId="57D3A534" w14:textId="77777777" w:rsidR="007F0B39" w:rsidRPr="00AB13D0" w:rsidRDefault="007F0B39" w:rsidP="007F0B39">
      <w:pPr>
        <w:pStyle w:val="Default"/>
        <w:jc w:val="both"/>
        <w:rPr>
          <w:rFonts w:ascii="Arial" w:hAnsi="Arial" w:cs="Arial"/>
          <w:b/>
          <w:bCs/>
          <w:lang w:val="es-MX"/>
        </w:rPr>
      </w:pPr>
    </w:p>
    <w:p w14:paraId="6D75A430" w14:textId="77777777" w:rsidR="007F0B39" w:rsidRPr="00AB13D0" w:rsidRDefault="007F0B39" w:rsidP="007F0B39">
      <w:pPr>
        <w:pStyle w:val="Default"/>
        <w:jc w:val="both"/>
        <w:rPr>
          <w:rFonts w:ascii="Arial" w:hAnsi="Arial" w:cs="Arial"/>
          <w:b/>
          <w:bCs/>
          <w:lang w:val="es-MX"/>
        </w:rPr>
      </w:pPr>
    </w:p>
    <w:p w14:paraId="5528BFA5" w14:textId="77777777" w:rsidR="007F0B39" w:rsidRPr="00AB13D0" w:rsidRDefault="007F0B39" w:rsidP="007F0B39">
      <w:pPr>
        <w:pStyle w:val="Default"/>
        <w:jc w:val="both"/>
        <w:rPr>
          <w:rFonts w:ascii="Arial" w:hAnsi="Arial" w:cs="Arial"/>
          <w:b/>
          <w:bCs/>
          <w:lang w:val="es-MX"/>
        </w:rPr>
      </w:pPr>
    </w:p>
    <w:p w14:paraId="174D00AC" w14:textId="77777777" w:rsidR="007F0B39" w:rsidRPr="00AB13D0" w:rsidRDefault="007F0B39" w:rsidP="007F0B39">
      <w:pPr>
        <w:pStyle w:val="Default"/>
        <w:jc w:val="both"/>
        <w:rPr>
          <w:rFonts w:ascii="Arial" w:hAnsi="Arial" w:cs="Arial"/>
          <w:b/>
          <w:bCs/>
          <w:lang w:val="es-MX"/>
        </w:rPr>
      </w:pPr>
    </w:p>
    <w:p w14:paraId="001F9743" w14:textId="77777777" w:rsidR="007F0B39" w:rsidRPr="00AB13D0" w:rsidRDefault="007F0B39" w:rsidP="007F0B39">
      <w:pPr>
        <w:pStyle w:val="Default"/>
        <w:jc w:val="both"/>
        <w:rPr>
          <w:rFonts w:ascii="Arial" w:hAnsi="Arial" w:cs="Arial"/>
          <w:b/>
          <w:bCs/>
          <w:lang w:val="es-MX"/>
        </w:rPr>
      </w:pPr>
    </w:p>
    <w:p w14:paraId="0EBE0372" w14:textId="77777777" w:rsidR="005F632E" w:rsidRPr="00AB13D0" w:rsidRDefault="005F632E" w:rsidP="007F0B39">
      <w:pPr>
        <w:pStyle w:val="Default"/>
        <w:jc w:val="both"/>
        <w:rPr>
          <w:rFonts w:ascii="Arial" w:hAnsi="Arial" w:cs="Arial"/>
          <w:b/>
          <w:bCs/>
          <w:lang w:val="es-MX"/>
        </w:rPr>
      </w:pPr>
    </w:p>
    <w:p w14:paraId="56FA9179" w14:textId="27A20C49" w:rsidR="007F0B39" w:rsidRPr="00AB13D0" w:rsidRDefault="007F0B39" w:rsidP="007F0B39">
      <w:pPr>
        <w:pStyle w:val="Default"/>
        <w:jc w:val="both"/>
        <w:rPr>
          <w:rFonts w:ascii="Arial" w:hAnsi="Arial" w:cs="Arial"/>
          <w:b/>
          <w:bCs/>
          <w:lang w:val="es-MX"/>
        </w:rPr>
      </w:pPr>
      <w:r w:rsidRPr="00AB13D0">
        <w:rPr>
          <w:rFonts w:ascii="Arial" w:hAnsi="Arial" w:cs="Arial"/>
          <w:b/>
          <w:bCs/>
          <w:lang w:val="es-MX"/>
        </w:rPr>
        <w:lastRenderedPageBreak/>
        <w:t>BIBLIOGRAFÍA</w:t>
      </w:r>
    </w:p>
    <w:p w14:paraId="65ABA845" w14:textId="77777777" w:rsidR="007F0B39" w:rsidRPr="00AB13D0" w:rsidRDefault="007F0B39" w:rsidP="007F0B39">
      <w:pPr>
        <w:pStyle w:val="Default"/>
        <w:jc w:val="both"/>
        <w:rPr>
          <w:rFonts w:ascii="Arial" w:hAnsi="Arial" w:cs="Arial"/>
          <w:b/>
          <w:bCs/>
          <w:lang w:val="es-MX"/>
        </w:rPr>
      </w:pPr>
    </w:p>
    <w:p w14:paraId="05635B14" w14:textId="77777777" w:rsidR="007F0B39" w:rsidRPr="00AB13D0" w:rsidRDefault="007F0B39" w:rsidP="007F0B39">
      <w:pPr>
        <w:pStyle w:val="Default"/>
        <w:jc w:val="both"/>
        <w:rPr>
          <w:rFonts w:ascii="Arial" w:hAnsi="Arial" w:cs="Arial"/>
          <w:b/>
          <w:bCs/>
          <w:lang w:val="es-MX"/>
        </w:rPr>
      </w:pPr>
    </w:p>
    <w:p w14:paraId="487E37C7" w14:textId="069164FC"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Acevedo Buendía y otros ("Cesantes y Jubilados de la Contraloría") Vs. Perú. (2006, 1 de julio). Sentencia de Excepciones Preliminares, Fondo, Reparaciones y Costas. Serie C No. 157. Corte Interamericana de Derechos Humanos.</w:t>
      </w:r>
    </w:p>
    <w:p w14:paraId="50560E3B" w14:textId="442AAD97" w:rsidR="003A0A20" w:rsidRPr="00AB13D0" w:rsidRDefault="003A0A20" w:rsidP="003A0A20">
      <w:pPr>
        <w:pStyle w:val="Default"/>
        <w:numPr>
          <w:ilvl w:val="0"/>
          <w:numId w:val="3"/>
        </w:numPr>
        <w:jc w:val="both"/>
        <w:rPr>
          <w:rFonts w:ascii="Arial" w:hAnsi="Arial" w:cs="Arial"/>
          <w:b/>
          <w:bCs/>
          <w:lang w:val="es-MX"/>
        </w:rPr>
      </w:pPr>
      <w:r w:rsidRPr="00AB13D0">
        <w:rPr>
          <w:rFonts w:ascii="Arial" w:hAnsi="Arial" w:cs="Arial"/>
          <w:lang w:val="es-ES"/>
        </w:rPr>
        <w:t xml:space="preserve">Comité de Derechos Económicos, Sociales y Culturales. (2005, 24 de noviembre). </w:t>
      </w:r>
      <w:r w:rsidRPr="00AB13D0">
        <w:rPr>
          <w:rFonts w:ascii="Arial" w:hAnsi="Arial" w:cs="Arial"/>
          <w:i/>
          <w:iCs/>
          <w:lang w:val="es-ES"/>
        </w:rPr>
        <w:t>Observación General No. 18. El derecho al trabajo (art. 6)</w:t>
      </w:r>
      <w:r w:rsidRPr="00AB13D0">
        <w:rPr>
          <w:rFonts w:ascii="Arial" w:hAnsi="Arial" w:cs="Arial"/>
          <w:lang w:val="es-ES"/>
        </w:rPr>
        <w:t xml:space="preserve"> (E/C.12/GC/18).</w:t>
      </w:r>
    </w:p>
    <w:p w14:paraId="39E605ED" w14:textId="77777777" w:rsidR="003A0A20" w:rsidRPr="00AB13D0" w:rsidRDefault="003A0A20" w:rsidP="007F0B39">
      <w:pPr>
        <w:pStyle w:val="Default"/>
        <w:jc w:val="both"/>
        <w:rPr>
          <w:rFonts w:ascii="Arial" w:hAnsi="Arial" w:cs="Arial"/>
          <w:b/>
          <w:bCs/>
          <w:lang w:val="es-MX"/>
        </w:rPr>
      </w:pPr>
    </w:p>
    <w:p w14:paraId="0E01CF4C" w14:textId="77777777" w:rsidR="003A0A20" w:rsidRPr="00AB13D0" w:rsidRDefault="003A0A20" w:rsidP="007F0B39">
      <w:pPr>
        <w:spacing w:line="240" w:lineRule="auto"/>
        <w:jc w:val="both"/>
        <w:rPr>
          <w:rFonts w:ascii="Arial" w:hAnsi="Arial" w:cs="Arial"/>
          <w:b/>
          <w:bCs/>
          <w:sz w:val="24"/>
          <w:szCs w:val="24"/>
        </w:rPr>
      </w:pPr>
    </w:p>
    <w:p w14:paraId="4FA9B2FB" w14:textId="0B3BBE57" w:rsidR="007F0B39" w:rsidRPr="00AB13D0" w:rsidRDefault="003A0A20" w:rsidP="007F0B39">
      <w:pPr>
        <w:spacing w:line="240" w:lineRule="auto"/>
        <w:jc w:val="both"/>
        <w:rPr>
          <w:rFonts w:ascii="Arial" w:hAnsi="Arial" w:cs="Arial"/>
          <w:b/>
          <w:bCs/>
          <w:sz w:val="24"/>
          <w:szCs w:val="24"/>
        </w:rPr>
      </w:pPr>
      <w:r w:rsidRPr="00AB13D0">
        <w:rPr>
          <w:rFonts w:ascii="Arial" w:hAnsi="Arial" w:cs="Arial"/>
          <w:b/>
          <w:bCs/>
          <w:sz w:val="24"/>
          <w:szCs w:val="24"/>
        </w:rPr>
        <w:t>JURISPRUDENCIA</w:t>
      </w:r>
    </w:p>
    <w:p w14:paraId="3C44212C" w14:textId="77777777" w:rsidR="007F0B39" w:rsidRPr="00AB13D0" w:rsidRDefault="007F0B39" w:rsidP="007F0B39">
      <w:pPr>
        <w:pStyle w:val="Default"/>
        <w:jc w:val="both"/>
        <w:rPr>
          <w:rFonts w:ascii="Arial" w:hAnsi="Arial" w:cs="Arial"/>
          <w:b/>
          <w:bCs/>
          <w:lang w:val="es-MX"/>
        </w:rPr>
      </w:pPr>
      <w:r w:rsidRPr="00AB13D0">
        <w:rPr>
          <w:rFonts w:ascii="Arial" w:hAnsi="Arial" w:cs="Arial"/>
          <w:b/>
          <w:bCs/>
          <w:u w:val="single"/>
        </w:rPr>
        <w:t>Nacional</w:t>
      </w:r>
    </w:p>
    <w:p w14:paraId="1CB97498" w14:textId="77777777" w:rsidR="007F0B39" w:rsidRPr="00AB13D0" w:rsidRDefault="007F0B39" w:rsidP="007F0B39">
      <w:pPr>
        <w:pStyle w:val="Default"/>
        <w:jc w:val="both"/>
        <w:rPr>
          <w:rFonts w:ascii="Arial" w:hAnsi="Arial" w:cs="Arial"/>
          <w:b/>
          <w:bCs/>
          <w:lang w:val="es-MX"/>
        </w:rPr>
      </w:pPr>
    </w:p>
    <w:p w14:paraId="11BABC5F" w14:textId="62CB26FD" w:rsidR="007F0B39" w:rsidRPr="00AB13D0" w:rsidRDefault="007F0B39" w:rsidP="003A0A20">
      <w:pPr>
        <w:pStyle w:val="Piedepgina"/>
        <w:numPr>
          <w:ilvl w:val="0"/>
          <w:numId w:val="3"/>
        </w:numPr>
        <w:jc w:val="both"/>
        <w:rPr>
          <w:rFonts w:ascii="Arial" w:hAnsi="Arial" w:cs="Arial"/>
          <w:sz w:val="24"/>
          <w:szCs w:val="24"/>
          <w:lang w:val="es-ES"/>
        </w:rPr>
      </w:pPr>
      <w:r w:rsidRPr="00AB13D0">
        <w:rPr>
          <w:rFonts w:ascii="Arial" w:hAnsi="Arial" w:cs="Arial"/>
          <w:sz w:val="24"/>
          <w:szCs w:val="24"/>
          <w:lang w:val="es-ES"/>
        </w:rPr>
        <w:t xml:space="preserve">Tribunal Constitucional del Perú (1997). Sentencia recaída en el expediente N° 0796-1996-AA, en la causa seguida por Gustavo </w:t>
      </w:r>
      <w:proofErr w:type="spellStart"/>
      <w:r w:rsidRPr="00AB13D0">
        <w:rPr>
          <w:rFonts w:ascii="Arial" w:hAnsi="Arial" w:cs="Arial"/>
          <w:sz w:val="24"/>
          <w:szCs w:val="24"/>
          <w:lang w:val="es-ES"/>
        </w:rPr>
        <w:t>Merardo</w:t>
      </w:r>
      <w:proofErr w:type="spellEnd"/>
      <w:r w:rsidRPr="00AB13D0">
        <w:rPr>
          <w:rFonts w:ascii="Arial" w:hAnsi="Arial" w:cs="Arial"/>
          <w:sz w:val="24"/>
          <w:szCs w:val="24"/>
          <w:lang w:val="es-ES"/>
        </w:rPr>
        <w:t xml:space="preserve"> </w:t>
      </w:r>
      <w:proofErr w:type="spellStart"/>
      <w:r w:rsidRPr="00AB13D0">
        <w:rPr>
          <w:rFonts w:ascii="Arial" w:hAnsi="Arial" w:cs="Arial"/>
          <w:sz w:val="24"/>
          <w:szCs w:val="24"/>
          <w:lang w:val="es-ES"/>
        </w:rPr>
        <w:t>Gutierrez</w:t>
      </w:r>
      <w:proofErr w:type="spellEnd"/>
      <w:r w:rsidRPr="00AB13D0">
        <w:rPr>
          <w:rFonts w:ascii="Arial" w:hAnsi="Arial" w:cs="Arial"/>
          <w:sz w:val="24"/>
          <w:szCs w:val="24"/>
          <w:lang w:val="es-ES"/>
        </w:rPr>
        <w:t xml:space="preserve"> Pizarro contra la Primera Sala Civil de la Corte Superior de Justicia de Lima. 09 de julio. </w:t>
      </w:r>
    </w:p>
    <w:p w14:paraId="43D9311F" w14:textId="77777777" w:rsidR="007F0B39" w:rsidRPr="00AB13D0" w:rsidRDefault="007F0B39" w:rsidP="007F0B39">
      <w:pPr>
        <w:pStyle w:val="Piedepgina"/>
        <w:ind w:left="720"/>
        <w:jc w:val="both"/>
        <w:rPr>
          <w:rFonts w:ascii="Arial" w:hAnsi="Arial" w:cs="Arial"/>
          <w:sz w:val="24"/>
          <w:szCs w:val="24"/>
          <w:lang w:val="es-ES"/>
        </w:rPr>
      </w:pPr>
    </w:p>
    <w:p w14:paraId="7E3E5D55" w14:textId="77777777" w:rsidR="007F0B39" w:rsidRPr="00AB13D0" w:rsidRDefault="007F0B39" w:rsidP="003A0A20">
      <w:pPr>
        <w:pStyle w:val="Piedepgina"/>
        <w:numPr>
          <w:ilvl w:val="0"/>
          <w:numId w:val="3"/>
        </w:numPr>
        <w:jc w:val="both"/>
        <w:rPr>
          <w:rFonts w:ascii="Arial" w:hAnsi="Arial" w:cs="Arial"/>
          <w:sz w:val="24"/>
          <w:szCs w:val="24"/>
          <w:lang w:val="es-ES"/>
        </w:rPr>
      </w:pPr>
      <w:r w:rsidRPr="00AB13D0">
        <w:rPr>
          <w:rFonts w:ascii="Arial" w:hAnsi="Arial" w:cs="Arial"/>
          <w:sz w:val="24"/>
          <w:szCs w:val="24"/>
          <w:lang w:val="es-ES"/>
        </w:rPr>
        <w:t xml:space="preserve">Tribunal Constitucional del Perú (1997). Sentencia recaída en el expediente No. 00357-1997-AA, en la causa seguida por </w:t>
      </w:r>
      <w:r w:rsidRPr="00AB13D0">
        <w:rPr>
          <w:rFonts w:ascii="Arial" w:hAnsi="Arial" w:cs="Arial"/>
          <w:color w:val="000000"/>
          <w:sz w:val="24"/>
          <w:szCs w:val="24"/>
        </w:rPr>
        <w:t xml:space="preserve">Benjamina Felisa </w:t>
      </w:r>
      <w:proofErr w:type="spellStart"/>
      <w:r w:rsidRPr="00AB13D0">
        <w:rPr>
          <w:rFonts w:ascii="Arial" w:hAnsi="Arial" w:cs="Arial"/>
          <w:color w:val="000000"/>
          <w:sz w:val="24"/>
          <w:szCs w:val="24"/>
        </w:rPr>
        <w:t>Amiquero</w:t>
      </w:r>
      <w:proofErr w:type="spellEnd"/>
      <w:r w:rsidRPr="00AB13D0">
        <w:rPr>
          <w:rFonts w:ascii="Arial" w:hAnsi="Arial" w:cs="Arial"/>
          <w:color w:val="000000"/>
          <w:sz w:val="24"/>
          <w:szCs w:val="24"/>
        </w:rPr>
        <w:t xml:space="preserve"> Nicolás de Vargas, Dula Zelmira Noya Andrade y Juan Enrique </w:t>
      </w:r>
      <w:proofErr w:type="spellStart"/>
      <w:r w:rsidRPr="00AB13D0">
        <w:rPr>
          <w:rFonts w:ascii="Arial" w:hAnsi="Arial" w:cs="Arial"/>
          <w:color w:val="000000"/>
          <w:sz w:val="24"/>
          <w:szCs w:val="24"/>
        </w:rPr>
        <w:t>Gutierrez</w:t>
      </w:r>
      <w:proofErr w:type="spellEnd"/>
      <w:r w:rsidRPr="00AB13D0">
        <w:rPr>
          <w:rFonts w:ascii="Arial" w:hAnsi="Arial" w:cs="Arial"/>
          <w:color w:val="000000"/>
          <w:sz w:val="24"/>
          <w:szCs w:val="24"/>
        </w:rPr>
        <w:t xml:space="preserve"> </w:t>
      </w:r>
      <w:proofErr w:type="spellStart"/>
      <w:r w:rsidRPr="00AB13D0">
        <w:rPr>
          <w:rFonts w:ascii="Arial" w:hAnsi="Arial" w:cs="Arial"/>
          <w:color w:val="000000"/>
          <w:sz w:val="24"/>
          <w:szCs w:val="24"/>
        </w:rPr>
        <w:t>Mays</w:t>
      </w:r>
      <w:proofErr w:type="spellEnd"/>
      <w:r w:rsidRPr="00AB13D0">
        <w:rPr>
          <w:rFonts w:ascii="Arial" w:hAnsi="Arial" w:cs="Arial"/>
          <w:sz w:val="24"/>
          <w:szCs w:val="24"/>
          <w:lang w:val="es-ES"/>
        </w:rPr>
        <w:t xml:space="preserve"> contra la Sala Civil de la Corte Superior de Justicia de Huánuco. 15 de octubre.</w:t>
      </w:r>
    </w:p>
    <w:p w14:paraId="398F755F" w14:textId="77777777" w:rsidR="007F0B39" w:rsidRPr="00AB13D0" w:rsidRDefault="007F0B39" w:rsidP="007F0B39">
      <w:pPr>
        <w:pStyle w:val="Piedepgina"/>
        <w:ind w:left="720"/>
        <w:jc w:val="both"/>
        <w:rPr>
          <w:rFonts w:ascii="Arial" w:hAnsi="Arial" w:cs="Arial"/>
          <w:sz w:val="24"/>
          <w:szCs w:val="24"/>
          <w:lang w:val="es-ES"/>
        </w:rPr>
      </w:pPr>
      <w:r w:rsidRPr="00AB13D0">
        <w:rPr>
          <w:rFonts w:ascii="Arial" w:hAnsi="Arial" w:cs="Arial"/>
          <w:sz w:val="24"/>
          <w:szCs w:val="24"/>
          <w:lang w:val="es-ES"/>
        </w:rPr>
        <w:t xml:space="preserve"> </w:t>
      </w:r>
    </w:p>
    <w:p w14:paraId="4F96A224" w14:textId="77777777" w:rsidR="007F0B39" w:rsidRPr="00AB13D0" w:rsidRDefault="007F0B39" w:rsidP="003A0A20">
      <w:pPr>
        <w:pStyle w:val="Piedepgina"/>
        <w:numPr>
          <w:ilvl w:val="0"/>
          <w:numId w:val="3"/>
        </w:numPr>
        <w:jc w:val="both"/>
        <w:rPr>
          <w:rFonts w:ascii="Arial" w:hAnsi="Arial" w:cs="Arial"/>
          <w:sz w:val="24"/>
          <w:szCs w:val="24"/>
          <w:lang w:val="es-ES"/>
        </w:rPr>
      </w:pPr>
      <w:r w:rsidRPr="00AB13D0">
        <w:rPr>
          <w:rFonts w:ascii="Arial" w:hAnsi="Arial" w:cs="Arial"/>
          <w:sz w:val="24"/>
          <w:szCs w:val="24"/>
          <w:lang w:val="es-ES"/>
        </w:rPr>
        <w:t xml:space="preserve">Tribunal Constitucional del Perú (1999). Sentencia recaída en el expediente No. 00717-1998-AA, en la causa seguida por </w:t>
      </w:r>
      <w:r w:rsidRPr="00AB13D0">
        <w:rPr>
          <w:rFonts w:ascii="Arial" w:hAnsi="Arial" w:cs="Arial"/>
          <w:color w:val="000000"/>
          <w:sz w:val="24"/>
          <w:szCs w:val="24"/>
        </w:rPr>
        <w:t>Hernando Guadalupe Meza contra la Resolución expedida por la Sala Corporativa Transitoria Especializada en Derecho Público de la Corte Superior de Justicia de Lima. 17 de marzo.</w:t>
      </w:r>
      <w:r w:rsidRPr="00AB13D0">
        <w:rPr>
          <w:rFonts w:ascii="Arial" w:hAnsi="Arial" w:cs="Arial"/>
          <w:sz w:val="24"/>
          <w:szCs w:val="24"/>
          <w:lang w:val="es-ES"/>
        </w:rPr>
        <w:t xml:space="preserve">  </w:t>
      </w:r>
    </w:p>
    <w:p w14:paraId="60D716BE" w14:textId="77777777" w:rsidR="007F0B39" w:rsidRPr="00AB13D0" w:rsidRDefault="007F0B39" w:rsidP="007F0B39">
      <w:pPr>
        <w:pStyle w:val="Default"/>
        <w:jc w:val="both"/>
        <w:rPr>
          <w:rFonts w:ascii="Arial" w:hAnsi="Arial" w:cs="Arial"/>
          <w:b/>
          <w:bCs/>
          <w:u w:val="single"/>
        </w:rPr>
      </w:pPr>
    </w:p>
    <w:p w14:paraId="369064CB" w14:textId="77777777" w:rsidR="007F0B39" w:rsidRPr="00AB13D0" w:rsidRDefault="007F0B39" w:rsidP="007F0B39">
      <w:pPr>
        <w:pStyle w:val="Default"/>
        <w:jc w:val="both"/>
        <w:rPr>
          <w:rFonts w:ascii="Arial" w:hAnsi="Arial" w:cs="Arial"/>
          <w:b/>
          <w:bCs/>
          <w:lang w:val="es-MX"/>
        </w:rPr>
      </w:pPr>
      <w:r w:rsidRPr="00AB13D0">
        <w:rPr>
          <w:rFonts w:ascii="Arial" w:hAnsi="Arial" w:cs="Arial"/>
          <w:b/>
          <w:bCs/>
          <w:u w:val="single"/>
        </w:rPr>
        <w:t>Internacional</w:t>
      </w:r>
    </w:p>
    <w:p w14:paraId="5C779D8E" w14:textId="77777777" w:rsidR="007F0B39" w:rsidRPr="00AB13D0" w:rsidRDefault="007F0B39" w:rsidP="007F0B39">
      <w:pPr>
        <w:rPr>
          <w:rFonts w:ascii="Arial" w:hAnsi="Arial" w:cs="Arial"/>
          <w:sz w:val="24"/>
          <w:szCs w:val="24"/>
          <w:lang w:val="es-ES"/>
        </w:rPr>
      </w:pPr>
    </w:p>
    <w:p w14:paraId="30006006"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 xml:space="preserve">Caso </w:t>
      </w:r>
      <w:proofErr w:type="spellStart"/>
      <w:r w:rsidRPr="00AB13D0">
        <w:rPr>
          <w:rFonts w:ascii="Arial" w:hAnsi="Arial" w:cs="Arial"/>
          <w:sz w:val="24"/>
          <w:szCs w:val="24"/>
          <w:lang w:val="es-ES"/>
        </w:rPr>
        <w:t>Abrill</w:t>
      </w:r>
      <w:proofErr w:type="spellEnd"/>
      <w:r w:rsidRPr="00AB13D0">
        <w:rPr>
          <w:rFonts w:ascii="Arial" w:hAnsi="Arial" w:cs="Arial"/>
          <w:sz w:val="24"/>
          <w:szCs w:val="24"/>
          <w:lang w:val="es-ES"/>
        </w:rPr>
        <w:t xml:space="preserve"> </w:t>
      </w:r>
      <w:proofErr w:type="spellStart"/>
      <w:r w:rsidRPr="00AB13D0">
        <w:rPr>
          <w:rFonts w:ascii="Arial" w:hAnsi="Arial" w:cs="Arial"/>
          <w:sz w:val="24"/>
          <w:szCs w:val="24"/>
          <w:lang w:val="es-ES"/>
        </w:rPr>
        <w:t>Alosilla</w:t>
      </w:r>
      <w:proofErr w:type="spellEnd"/>
      <w:r w:rsidRPr="00AB13D0">
        <w:rPr>
          <w:rFonts w:ascii="Arial" w:hAnsi="Arial" w:cs="Arial"/>
          <w:sz w:val="24"/>
          <w:szCs w:val="24"/>
          <w:lang w:val="es-ES"/>
        </w:rPr>
        <w:t xml:space="preserve"> y otros Vs. Perú. (2011, 4 de marzo). Sentencia de Fondo, Reparaciones y Costas. Serie C No. 223. Corte Interamericana de Derechos Humanos.</w:t>
      </w:r>
    </w:p>
    <w:p w14:paraId="3F438119" w14:textId="77777777" w:rsidR="00DE4819" w:rsidRPr="00AB13D0" w:rsidRDefault="00DE4819" w:rsidP="00DE4819">
      <w:pPr>
        <w:pStyle w:val="Prrafodelista"/>
        <w:spacing w:line="240" w:lineRule="auto"/>
        <w:jc w:val="both"/>
        <w:rPr>
          <w:rFonts w:ascii="Arial" w:hAnsi="Arial" w:cs="Arial"/>
          <w:sz w:val="24"/>
          <w:szCs w:val="24"/>
          <w:lang w:val="es-ES"/>
        </w:rPr>
      </w:pPr>
    </w:p>
    <w:p w14:paraId="1970972E"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 xml:space="preserve">Caso </w:t>
      </w:r>
      <w:proofErr w:type="spellStart"/>
      <w:r w:rsidRPr="00AB13D0">
        <w:rPr>
          <w:rFonts w:ascii="Arial" w:hAnsi="Arial" w:cs="Arial"/>
          <w:sz w:val="24"/>
          <w:szCs w:val="24"/>
          <w:lang w:val="es-ES"/>
        </w:rPr>
        <w:t>Barbani</w:t>
      </w:r>
      <w:proofErr w:type="spellEnd"/>
      <w:r w:rsidRPr="00AB13D0">
        <w:rPr>
          <w:rFonts w:ascii="Arial" w:hAnsi="Arial" w:cs="Arial"/>
          <w:sz w:val="24"/>
          <w:szCs w:val="24"/>
          <w:lang w:val="es-ES"/>
        </w:rPr>
        <w:t xml:space="preserve"> Duarte y otros Vs. Uruguay. (2011, 13 de octubre). Sentencia de Fondo, Reparaciones y Costas. Serie C No. 234. Corte Interamericana de Derechos Humanos.</w:t>
      </w:r>
    </w:p>
    <w:p w14:paraId="1BB19955" w14:textId="77777777" w:rsidR="00DE4819" w:rsidRPr="00AB13D0" w:rsidRDefault="00DE4819" w:rsidP="00DE4819">
      <w:pPr>
        <w:pStyle w:val="Prrafodelista"/>
        <w:rPr>
          <w:rFonts w:ascii="Arial" w:hAnsi="Arial" w:cs="Arial"/>
          <w:sz w:val="24"/>
          <w:szCs w:val="24"/>
          <w:lang w:val="es-ES"/>
        </w:rPr>
      </w:pPr>
    </w:p>
    <w:p w14:paraId="0F6480C1"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 xml:space="preserve">Caso Cuya </w:t>
      </w:r>
      <w:proofErr w:type="spellStart"/>
      <w:r w:rsidRPr="00AB13D0">
        <w:rPr>
          <w:rFonts w:ascii="Arial" w:hAnsi="Arial" w:cs="Arial"/>
          <w:sz w:val="24"/>
          <w:szCs w:val="24"/>
          <w:lang w:val="es-ES"/>
        </w:rPr>
        <w:t>Lavy</w:t>
      </w:r>
      <w:proofErr w:type="spellEnd"/>
      <w:r w:rsidRPr="00AB13D0">
        <w:rPr>
          <w:rFonts w:ascii="Arial" w:hAnsi="Arial" w:cs="Arial"/>
          <w:sz w:val="24"/>
          <w:szCs w:val="24"/>
          <w:lang w:val="es-ES"/>
        </w:rPr>
        <w:t xml:space="preserve"> y otros Vs. Perú. (2018, 26 de septiembre). Sentencia de Excepciones Preliminares, Fondo y Reparaciones. Serie C No. 367. Corte Interamericana de Derechos Humanos.</w:t>
      </w:r>
    </w:p>
    <w:p w14:paraId="652451D5" w14:textId="77777777" w:rsidR="00DE4819" w:rsidRPr="00AB13D0" w:rsidRDefault="00DE4819" w:rsidP="00DE4819">
      <w:pPr>
        <w:pStyle w:val="Prrafodelista"/>
        <w:rPr>
          <w:rFonts w:ascii="Arial" w:hAnsi="Arial" w:cs="Arial"/>
          <w:sz w:val="24"/>
          <w:szCs w:val="24"/>
          <w:lang w:val="es-ES"/>
        </w:rPr>
      </w:pPr>
    </w:p>
    <w:p w14:paraId="1DAC12B4"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lastRenderedPageBreak/>
        <w:t>Caso Lagos del Campo Vs. Perú. (2017, 31 de agosto). Sentencia de Excepciones Preliminares, Fondo, Reparaciones y Costas. Serie C No. 343. Corte Interamericana de Derechos Humanos.</w:t>
      </w:r>
    </w:p>
    <w:p w14:paraId="304FE31C" w14:textId="77777777" w:rsidR="00DE4819" w:rsidRPr="00AB13D0" w:rsidRDefault="00DE4819" w:rsidP="00DE4819">
      <w:pPr>
        <w:pStyle w:val="Prrafodelista"/>
        <w:rPr>
          <w:rFonts w:ascii="Arial" w:hAnsi="Arial" w:cs="Arial"/>
          <w:sz w:val="24"/>
          <w:szCs w:val="24"/>
          <w:lang w:val="es-ES"/>
        </w:rPr>
      </w:pPr>
    </w:p>
    <w:p w14:paraId="6D564BC5"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Maritza Urrutia Vs. Guatemala. (2003, 27 de noviembre). Sentencia de Fondo, Reparaciones y Costas. Serie C No. 103. Corte Interamericana de Derechos Humanos.</w:t>
      </w:r>
    </w:p>
    <w:p w14:paraId="516AAD2D" w14:textId="77777777" w:rsidR="00DE4819" w:rsidRPr="00AB13D0" w:rsidRDefault="00DE4819" w:rsidP="00DE4819">
      <w:pPr>
        <w:pStyle w:val="Prrafodelista"/>
        <w:rPr>
          <w:rFonts w:ascii="Arial" w:hAnsi="Arial" w:cs="Arial"/>
          <w:sz w:val="24"/>
          <w:szCs w:val="24"/>
          <w:lang w:val="es-ES"/>
        </w:rPr>
      </w:pPr>
    </w:p>
    <w:p w14:paraId="22A5B03E"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Martínez Esquivia Vs. Colombia. (2020, 6 de octubre). Sentencia de Excepciones Preliminares, Fondo y Reparaciones. Serie C No. 412. Corte Interamericana de Derechos Humanos.</w:t>
      </w:r>
    </w:p>
    <w:p w14:paraId="4966EEC0"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Masacre de Santo Domingo Vs. Colombia. (2012, 30 de noviembre). Sentencia de Fondo, Reparaciones y Costas. Serie C No. 259. Corte Interamericana de Derechos Humanos.</w:t>
      </w:r>
    </w:p>
    <w:p w14:paraId="0DBF3A00" w14:textId="77777777" w:rsidR="00DE4819" w:rsidRPr="00AB13D0" w:rsidRDefault="00DE4819" w:rsidP="00DE4819">
      <w:pPr>
        <w:pStyle w:val="Prrafodelista"/>
        <w:spacing w:line="240" w:lineRule="auto"/>
        <w:jc w:val="both"/>
        <w:rPr>
          <w:rFonts w:ascii="Arial" w:hAnsi="Arial" w:cs="Arial"/>
          <w:sz w:val="24"/>
          <w:szCs w:val="24"/>
          <w:lang w:val="es-ES"/>
        </w:rPr>
      </w:pPr>
    </w:p>
    <w:p w14:paraId="0CE20662"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Mina Cuero Vs. Ecuador. (2017, 30 de noviembre). Sentencia de Excepciones Preliminares, Fondo y Reparaciones. Serie C No. 345. Corte Interamericana de Derechos Humanos.</w:t>
      </w:r>
    </w:p>
    <w:p w14:paraId="492253F6" w14:textId="77777777" w:rsidR="00DE4819" w:rsidRPr="00AB13D0" w:rsidRDefault="00DE4819" w:rsidP="00DE4819">
      <w:pPr>
        <w:pStyle w:val="Prrafodelista"/>
        <w:rPr>
          <w:rFonts w:ascii="Arial" w:hAnsi="Arial" w:cs="Arial"/>
          <w:sz w:val="24"/>
          <w:szCs w:val="24"/>
          <w:lang w:val="es-ES"/>
        </w:rPr>
      </w:pPr>
    </w:p>
    <w:p w14:paraId="561B8DC8"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Moya Solís Vs. Perú. (2021, 3 de junio). Sentencia de Excepciones Preliminares, Fondo, Reparaciones y Costas. Serie C No. 425. Corte Interamericana de Derechos Humanos.</w:t>
      </w:r>
    </w:p>
    <w:p w14:paraId="10A9BFA5" w14:textId="77777777" w:rsidR="00DE4819" w:rsidRPr="00AB13D0" w:rsidRDefault="00DE4819" w:rsidP="00DE4819">
      <w:pPr>
        <w:pStyle w:val="Prrafodelista"/>
        <w:rPr>
          <w:rFonts w:ascii="Arial" w:hAnsi="Arial" w:cs="Arial"/>
          <w:sz w:val="24"/>
          <w:szCs w:val="24"/>
          <w:lang w:val="es-ES"/>
        </w:rPr>
      </w:pPr>
    </w:p>
    <w:p w14:paraId="7A1B03A0"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Reverón Trujillo Vs. Venezuela. (2009, 30 de junio). Sentencia de Excepción Preliminar, Fondo, Reparaciones y Costas. Serie C No. 197. Corte Interamericana de Derechos Humanos.</w:t>
      </w:r>
    </w:p>
    <w:p w14:paraId="54CBDDD7" w14:textId="77777777" w:rsidR="00DE4819" w:rsidRPr="00AB13D0" w:rsidRDefault="00DE4819" w:rsidP="00DE4819">
      <w:pPr>
        <w:pStyle w:val="Prrafodelista"/>
        <w:spacing w:line="240" w:lineRule="auto"/>
        <w:jc w:val="both"/>
        <w:rPr>
          <w:rFonts w:ascii="Arial" w:hAnsi="Arial" w:cs="Arial"/>
          <w:sz w:val="24"/>
          <w:szCs w:val="24"/>
          <w:lang w:val="es-ES"/>
        </w:rPr>
      </w:pPr>
    </w:p>
    <w:p w14:paraId="79670662" w14:textId="71549458"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Tarazona Arrieta y Otros Vs. Perú. (2014, 15 de octubre). Sentencia de Excepción Preliminar, Fondo, Reparaciones y Costas. Serie C No. 286. Corte Interamericana de Derechos Humanos.</w:t>
      </w:r>
    </w:p>
    <w:p w14:paraId="3CA06DED" w14:textId="77777777" w:rsidR="00DE4819" w:rsidRPr="00AB13D0" w:rsidRDefault="00DE4819" w:rsidP="00DE4819">
      <w:pPr>
        <w:pStyle w:val="Prrafodelista"/>
        <w:rPr>
          <w:rFonts w:ascii="Arial" w:hAnsi="Arial" w:cs="Arial"/>
          <w:sz w:val="24"/>
          <w:szCs w:val="24"/>
          <w:lang w:val="es-ES"/>
        </w:rPr>
      </w:pPr>
    </w:p>
    <w:p w14:paraId="006CE826"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Trabajadores Cesados del Congreso (Aguado Alfaro y otros) Vs. Perú. (2022, 2 de octubre). Corte Interamericana de Derechos Humanos.</w:t>
      </w:r>
    </w:p>
    <w:p w14:paraId="220AB53B" w14:textId="77777777" w:rsidR="00DE4819" w:rsidRPr="00AB13D0" w:rsidRDefault="00DE4819" w:rsidP="00DE4819">
      <w:pPr>
        <w:pStyle w:val="Prrafodelista"/>
        <w:rPr>
          <w:rFonts w:ascii="Arial" w:hAnsi="Arial" w:cs="Arial"/>
          <w:sz w:val="24"/>
          <w:szCs w:val="24"/>
          <w:lang w:val="es-ES"/>
        </w:rPr>
      </w:pPr>
    </w:p>
    <w:p w14:paraId="6D12A7BC"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Trabajadores Cesados de Petroperú y otros Vs. Perú. (2019, 21 de mayo). Sentencia de Excepciones Preliminares, Fondo, Reparaciones y Costas. Serie C No. 384. Corte Interamericana de Derechos Humanos.</w:t>
      </w:r>
    </w:p>
    <w:p w14:paraId="1D2AB071" w14:textId="77777777" w:rsidR="00DE4819" w:rsidRPr="00AB13D0" w:rsidRDefault="00DE4819" w:rsidP="00DE4819">
      <w:pPr>
        <w:pStyle w:val="Prrafodelista"/>
        <w:rPr>
          <w:rFonts w:ascii="Arial" w:hAnsi="Arial" w:cs="Arial"/>
          <w:sz w:val="24"/>
          <w:szCs w:val="24"/>
          <w:lang w:val="es-ES"/>
        </w:rPr>
      </w:pPr>
    </w:p>
    <w:p w14:paraId="7FB9BE65"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Velásquez Rodríguez Vs. Honduras. (1988, 29 de julio). Sentencia de Fondo. Corte Interamericana de Derechos Humanos.</w:t>
      </w:r>
    </w:p>
    <w:p w14:paraId="3F9E49B0" w14:textId="77777777" w:rsidR="00DE4819" w:rsidRPr="00AB13D0" w:rsidRDefault="00DE4819" w:rsidP="00DE4819">
      <w:pPr>
        <w:pStyle w:val="Prrafodelista"/>
        <w:rPr>
          <w:rFonts w:ascii="Arial" w:hAnsi="Arial" w:cs="Arial"/>
          <w:sz w:val="24"/>
          <w:szCs w:val="24"/>
          <w:lang w:val="es-ES"/>
        </w:rPr>
      </w:pPr>
    </w:p>
    <w:p w14:paraId="13CA320A" w14:textId="77777777" w:rsidR="00DE4819" w:rsidRPr="00AB13D0" w:rsidRDefault="00DE4819"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Caso Vera Rojas y otros Vs. Chile. (2018, 11 de diciembre). Sentencia de Fondo, Reparaciones y Costas. Serie C No. 379. Corte Interamericana de Derechos Humanos.</w:t>
      </w:r>
    </w:p>
    <w:p w14:paraId="4D9DD816" w14:textId="719659CF" w:rsidR="007F0B39" w:rsidRPr="00AB13D0" w:rsidRDefault="007F0B39" w:rsidP="00DE4819">
      <w:pPr>
        <w:pStyle w:val="Prrafodelista"/>
        <w:spacing w:line="240" w:lineRule="auto"/>
        <w:jc w:val="both"/>
        <w:rPr>
          <w:rFonts w:ascii="Arial" w:hAnsi="Arial" w:cs="Arial"/>
          <w:sz w:val="24"/>
          <w:szCs w:val="24"/>
          <w:lang w:val="es-ES"/>
        </w:rPr>
      </w:pPr>
    </w:p>
    <w:p w14:paraId="77B7FCFF" w14:textId="77777777" w:rsidR="007F0B39" w:rsidRPr="00AB13D0" w:rsidRDefault="007F0B39" w:rsidP="007F0B39">
      <w:pPr>
        <w:spacing w:line="240" w:lineRule="auto"/>
        <w:rPr>
          <w:rFonts w:ascii="Arial" w:hAnsi="Arial" w:cs="Arial"/>
          <w:sz w:val="24"/>
          <w:szCs w:val="24"/>
          <w:lang w:val="es-ES"/>
        </w:rPr>
      </w:pPr>
      <w:r w:rsidRPr="00AB13D0">
        <w:rPr>
          <w:rFonts w:ascii="Arial" w:hAnsi="Arial" w:cs="Arial"/>
          <w:b/>
          <w:bCs/>
          <w:sz w:val="24"/>
          <w:szCs w:val="24"/>
          <w:u w:val="single"/>
        </w:rPr>
        <w:t>Legislación</w:t>
      </w:r>
    </w:p>
    <w:p w14:paraId="6871AE75" w14:textId="77777777" w:rsidR="007F0B39" w:rsidRPr="00AB13D0" w:rsidRDefault="007F0B39" w:rsidP="007F0B39">
      <w:pPr>
        <w:pStyle w:val="Prrafodelista"/>
        <w:spacing w:line="240" w:lineRule="auto"/>
        <w:rPr>
          <w:rFonts w:ascii="Arial" w:hAnsi="Arial" w:cs="Arial"/>
          <w:sz w:val="24"/>
          <w:szCs w:val="24"/>
          <w:lang w:val="es-ES"/>
        </w:rPr>
      </w:pPr>
    </w:p>
    <w:p w14:paraId="7B4302A7" w14:textId="77777777"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 xml:space="preserve">Decreto Ley No. 25438. (1992, 20 de abril). El </w:t>
      </w:r>
      <w:proofErr w:type="gramStart"/>
      <w:r w:rsidRPr="00AB13D0">
        <w:rPr>
          <w:rFonts w:ascii="Arial" w:hAnsi="Arial" w:cs="Arial"/>
          <w:sz w:val="24"/>
          <w:szCs w:val="24"/>
          <w:lang w:val="es-ES"/>
        </w:rPr>
        <w:t>Peruano</w:t>
      </w:r>
      <w:proofErr w:type="gramEnd"/>
      <w:r w:rsidRPr="00AB13D0">
        <w:rPr>
          <w:rFonts w:ascii="Arial" w:hAnsi="Arial" w:cs="Arial"/>
          <w:sz w:val="24"/>
          <w:szCs w:val="24"/>
          <w:lang w:val="es-ES"/>
        </w:rPr>
        <w:t>.</w:t>
      </w:r>
    </w:p>
    <w:p w14:paraId="67D79CB7" w14:textId="77777777" w:rsidR="003A0A20" w:rsidRPr="00AB13D0" w:rsidRDefault="003A0A20" w:rsidP="003A0A20">
      <w:pPr>
        <w:pStyle w:val="Prrafodelista"/>
        <w:rPr>
          <w:rFonts w:ascii="Arial" w:hAnsi="Arial" w:cs="Arial"/>
          <w:sz w:val="24"/>
          <w:szCs w:val="24"/>
          <w:lang w:val="es-ES"/>
        </w:rPr>
      </w:pPr>
    </w:p>
    <w:p w14:paraId="54C9C896" w14:textId="77777777"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 xml:space="preserve">Decreto Ley No. 25640. (1992, 24 de julio). El </w:t>
      </w:r>
      <w:proofErr w:type="gramStart"/>
      <w:r w:rsidRPr="00AB13D0">
        <w:rPr>
          <w:rFonts w:ascii="Arial" w:hAnsi="Arial" w:cs="Arial"/>
          <w:sz w:val="24"/>
          <w:szCs w:val="24"/>
          <w:lang w:val="es-ES"/>
        </w:rPr>
        <w:t>Peruano</w:t>
      </w:r>
      <w:proofErr w:type="gramEnd"/>
      <w:r w:rsidRPr="00AB13D0">
        <w:rPr>
          <w:rFonts w:ascii="Arial" w:hAnsi="Arial" w:cs="Arial"/>
          <w:sz w:val="24"/>
          <w:szCs w:val="24"/>
          <w:lang w:val="es-ES"/>
        </w:rPr>
        <w:t>.</w:t>
      </w:r>
    </w:p>
    <w:p w14:paraId="090A1464" w14:textId="77777777" w:rsidR="003A0A20" w:rsidRPr="00AB13D0" w:rsidRDefault="003A0A20" w:rsidP="003A0A20">
      <w:pPr>
        <w:pStyle w:val="Prrafodelista"/>
        <w:rPr>
          <w:rFonts w:ascii="Arial" w:hAnsi="Arial" w:cs="Arial"/>
          <w:sz w:val="24"/>
          <w:szCs w:val="24"/>
          <w:lang w:val="es-ES"/>
        </w:rPr>
      </w:pPr>
    </w:p>
    <w:p w14:paraId="5C210F83" w14:textId="77777777"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El artículo 9 del Decreto Ley 25640 de 1992, mediante el cual se autorizó a la Comisión Administradora del Patrimonio del Congreso a ejecutar un proceso de racionalización del personal, disponía: “No procede la acción de amparo dirigida a impugnar directa o indirectamente la aplicación del presente Decreto Ley”.</w:t>
      </w:r>
    </w:p>
    <w:p w14:paraId="36933951" w14:textId="77777777" w:rsidR="003A0A20" w:rsidRPr="00AB13D0" w:rsidRDefault="003A0A20" w:rsidP="003A0A20">
      <w:pPr>
        <w:pStyle w:val="Prrafodelista"/>
        <w:rPr>
          <w:rFonts w:ascii="Arial" w:hAnsi="Arial" w:cs="Arial"/>
          <w:sz w:val="24"/>
          <w:szCs w:val="24"/>
          <w:lang w:val="es-ES"/>
        </w:rPr>
      </w:pPr>
    </w:p>
    <w:p w14:paraId="7B5CF971" w14:textId="77777777"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 xml:space="preserve">Ley No. 27487. (2001, 23 de junio). Ley que deroga el Decreto Ley No. 26093 y autoriza la conformación de comisiones encargadas de revisar los ceses colectivos en el Sector Público. El </w:t>
      </w:r>
      <w:proofErr w:type="gramStart"/>
      <w:r w:rsidRPr="00AB13D0">
        <w:rPr>
          <w:rFonts w:ascii="Arial" w:hAnsi="Arial" w:cs="Arial"/>
          <w:sz w:val="24"/>
          <w:szCs w:val="24"/>
          <w:lang w:val="es-ES"/>
        </w:rPr>
        <w:t>Peruano</w:t>
      </w:r>
      <w:proofErr w:type="gramEnd"/>
      <w:r w:rsidRPr="00AB13D0">
        <w:rPr>
          <w:rFonts w:ascii="Arial" w:hAnsi="Arial" w:cs="Arial"/>
          <w:sz w:val="24"/>
          <w:szCs w:val="24"/>
          <w:lang w:val="es-ES"/>
        </w:rPr>
        <w:t>.</w:t>
      </w:r>
    </w:p>
    <w:p w14:paraId="3B1AEF2E" w14:textId="77777777" w:rsidR="003A0A20" w:rsidRPr="00AB13D0" w:rsidRDefault="003A0A20" w:rsidP="003A0A20">
      <w:pPr>
        <w:pStyle w:val="Prrafodelista"/>
        <w:rPr>
          <w:rFonts w:ascii="Arial" w:hAnsi="Arial" w:cs="Arial"/>
          <w:sz w:val="24"/>
          <w:szCs w:val="24"/>
          <w:lang w:val="es-ES"/>
        </w:rPr>
      </w:pPr>
    </w:p>
    <w:p w14:paraId="38DA509F" w14:textId="77777777"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Resolución No. 1303</w:t>
      </w:r>
      <w:proofErr w:type="gramStart"/>
      <w:r w:rsidRPr="00AB13D0">
        <w:rPr>
          <w:rFonts w:ascii="Arial" w:hAnsi="Arial" w:cs="Arial"/>
          <w:sz w:val="24"/>
          <w:szCs w:val="24"/>
          <w:lang w:val="es-ES"/>
        </w:rPr>
        <w:t>-“</w:t>
      </w:r>
      <w:proofErr w:type="gramEnd"/>
      <w:r w:rsidRPr="00AB13D0">
        <w:rPr>
          <w:rFonts w:ascii="Arial" w:hAnsi="Arial" w:cs="Arial"/>
          <w:sz w:val="24"/>
          <w:szCs w:val="24"/>
          <w:lang w:val="es-ES"/>
        </w:rPr>
        <w:t>A”-92-CACL. Cesan a funcionarios y servidores del Congreso de la República.</w:t>
      </w:r>
    </w:p>
    <w:p w14:paraId="31CCF5AC" w14:textId="77777777" w:rsidR="003A0A20" w:rsidRPr="00AB13D0" w:rsidRDefault="003A0A20" w:rsidP="003A0A20">
      <w:pPr>
        <w:pStyle w:val="Prrafodelista"/>
        <w:rPr>
          <w:rFonts w:ascii="Arial" w:hAnsi="Arial" w:cs="Arial"/>
          <w:sz w:val="24"/>
          <w:szCs w:val="24"/>
          <w:lang w:val="es-ES"/>
        </w:rPr>
      </w:pPr>
    </w:p>
    <w:p w14:paraId="2A53C53F" w14:textId="77777777" w:rsidR="003A0A20" w:rsidRPr="00AB13D0" w:rsidRDefault="003A0A20" w:rsidP="003A0A20">
      <w:pPr>
        <w:pStyle w:val="Prrafodelista"/>
        <w:numPr>
          <w:ilvl w:val="0"/>
          <w:numId w:val="3"/>
        </w:numPr>
        <w:spacing w:line="240" w:lineRule="auto"/>
        <w:jc w:val="both"/>
        <w:rPr>
          <w:rFonts w:ascii="Arial" w:hAnsi="Arial" w:cs="Arial"/>
          <w:sz w:val="24"/>
          <w:szCs w:val="24"/>
          <w:lang w:val="es-ES"/>
        </w:rPr>
      </w:pPr>
      <w:r w:rsidRPr="00AB13D0">
        <w:rPr>
          <w:rFonts w:ascii="Arial" w:hAnsi="Arial" w:cs="Arial"/>
          <w:sz w:val="24"/>
          <w:szCs w:val="24"/>
          <w:lang w:val="es-ES"/>
        </w:rPr>
        <w:t>Resolución No. 1303</w:t>
      </w:r>
      <w:proofErr w:type="gramStart"/>
      <w:r w:rsidRPr="00AB13D0">
        <w:rPr>
          <w:rFonts w:ascii="Arial" w:hAnsi="Arial" w:cs="Arial"/>
          <w:sz w:val="24"/>
          <w:szCs w:val="24"/>
          <w:lang w:val="es-ES"/>
        </w:rPr>
        <w:t>-“</w:t>
      </w:r>
      <w:proofErr w:type="gramEnd"/>
      <w:r w:rsidRPr="00AB13D0">
        <w:rPr>
          <w:rFonts w:ascii="Arial" w:hAnsi="Arial" w:cs="Arial"/>
          <w:sz w:val="24"/>
          <w:szCs w:val="24"/>
          <w:lang w:val="es-ES"/>
        </w:rPr>
        <w:t>B”-92-CACL. Cesan a funcionarios y servidores del Congreso de la República.</w:t>
      </w:r>
    </w:p>
    <w:p w14:paraId="20DA7C50" w14:textId="77777777" w:rsidR="003A0A20" w:rsidRPr="00AB13D0" w:rsidRDefault="003A0A20" w:rsidP="003A0A20">
      <w:pPr>
        <w:pStyle w:val="Prrafodelista"/>
        <w:spacing w:line="240" w:lineRule="auto"/>
        <w:jc w:val="both"/>
        <w:rPr>
          <w:rFonts w:ascii="Arial" w:hAnsi="Arial" w:cs="Arial"/>
          <w:sz w:val="24"/>
          <w:szCs w:val="24"/>
          <w:lang w:val="es-ES"/>
        </w:rPr>
      </w:pPr>
    </w:p>
    <w:p w14:paraId="11661CCE" w14:textId="77777777" w:rsidR="007F0B39" w:rsidRPr="00AB13D0" w:rsidRDefault="007F0B39" w:rsidP="007F0B39">
      <w:pPr>
        <w:pStyle w:val="Prrafodelista"/>
        <w:spacing w:line="240" w:lineRule="auto"/>
        <w:rPr>
          <w:rFonts w:ascii="Arial" w:hAnsi="Arial" w:cs="Arial"/>
          <w:sz w:val="24"/>
          <w:szCs w:val="24"/>
        </w:rPr>
      </w:pPr>
    </w:p>
    <w:p w14:paraId="156BCEA6" w14:textId="77777777" w:rsidR="007F0B39" w:rsidRPr="00AB13D0" w:rsidRDefault="007F0B39" w:rsidP="007F0B39">
      <w:pPr>
        <w:pStyle w:val="Prrafodelista"/>
        <w:rPr>
          <w:rFonts w:ascii="Arial" w:hAnsi="Arial" w:cs="Arial"/>
          <w:sz w:val="24"/>
          <w:szCs w:val="24"/>
          <w:lang w:val="es-ES"/>
        </w:rPr>
      </w:pPr>
    </w:p>
    <w:p w14:paraId="63E3788A" w14:textId="77777777" w:rsidR="007F0B39" w:rsidRPr="00AB13D0" w:rsidRDefault="007F0B39" w:rsidP="007F0B39">
      <w:pPr>
        <w:spacing w:line="240" w:lineRule="auto"/>
        <w:jc w:val="both"/>
        <w:rPr>
          <w:rFonts w:ascii="Arial" w:hAnsi="Arial" w:cs="Arial"/>
          <w:sz w:val="24"/>
          <w:szCs w:val="24"/>
          <w:lang w:val="es-ES"/>
        </w:rPr>
      </w:pPr>
    </w:p>
    <w:p w14:paraId="0DD44474" w14:textId="77777777" w:rsidR="007F0B39" w:rsidRPr="00AB13D0" w:rsidRDefault="007F0B39" w:rsidP="007F0B39">
      <w:pPr>
        <w:spacing w:line="240" w:lineRule="auto"/>
        <w:jc w:val="both"/>
        <w:rPr>
          <w:rFonts w:ascii="Arial" w:hAnsi="Arial" w:cs="Arial"/>
          <w:sz w:val="24"/>
          <w:szCs w:val="24"/>
          <w:lang w:val="es-ES"/>
        </w:rPr>
      </w:pPr>
    </w:p>
    <w:p w14:paraId="2352DEAC" w14:textId="77777777" w:rsidR="007F0B39" w:rsidRPr="00AB13D0" w:rsidRDefault="007F0B39" w:rsidP="007F0B39">
      <w:pPr>
        <w:spacing w:line="240" w:lineRule="auto"/>
        <w:jc w:val="both"/>
        <w:rPr>
          <w:rFonts w:ascii="Arial" w:hAnsi="Arial" w:cs="Arial"/>
          <w:sz w:val="24"/>
          <w:szCs w:val="24"/>
          <w:lang w:val="es-ES"/>
        </w:rPr>
      </w:pPr>
    </w:p>
    <w:p w14:paraId="3D353FBB" w14:textId="77777777" w:rsidR="007F0B39" w:rsidRPr="00AB13D0" w:rsidRDefault="007F0B39" w:rsidP="007F0B39">
      <w:pPr>
        <w:spacing w:line="240" w:lineRule="auto"/>
        <w:jc w:val="both"/>
        <w:rPr>
          <w:rFonts w:ascii="Arial" w:hAnsi="Arial" w:cs="Arial"/>
          <w:sz w:val="24"/>
          <w:szCs w:val="24"/>
          <w:lang w:val="es-ES"/>
        </w:rPr>
      </w:pPr>
    </w:p>
    <w:p w14:paraId="3EDABB35" w14:textId="77777777" w:rsidR="007F0B39" w:rsidRPr="00AB13D0" w:rsidRDefault="007F0B39" w:rsidP="007F0B39">
      <w:pPr>
        <w:spacing w:line="240" w:lineRule="auto"/>
        <w:jc w:val="both"/>
        <w:rPr>
          <w:rFonts w:ascii="Arial" w:hAnsi="Arial" w:cs="Arial"/>
          <w:sz w:val="24"/>
          <w:szCs w:val="24"/>
          <w:lang w:val="es-ES"/>
        </w:rPr>
      </w:pPr>
    </w:p>
    <w:p w14:paraId="684CA4A9" w14:textId="77777777" w:rsidR="007F0B39" w:rsidRPr="00AB13D0" w:rsidRDefault="007F0B39" w:rsidP="007F0B39">
      <w:pPr>
        <w:spacing w:line="240" w:lineRule="auto"/>
        <w:jc w:val="both"/>
        <w:rPr>
          <w:rFonts w:ascii="Arial" w:hAnsi="Arial" w:cs="Arial"/>
          <w:sz w:val="24"/>
          <w:szCs w:val="24"/>
          <w:lang w:val="es-ES"/>
        </w:rPr>
      </w:pPr>
    </w:p>
    <w:p w14:paraId="5F55E160" w14:textId="77777777" w:rsidR="007F0B39" w:rsidRPr="00AB13D0" w:rsidRDefault="007F0B39" w:rsidP="007F0B39">
      <w:pPr>
        <w:spacing w:line="240" w:lineRule="auto"/>
        <w:jc w:val="both"/>
        <w:rPr>
          <w:rFonts w:ascii="Arial" w:hAnsi="Arial" w:cs="Arial"/>
          <w:sz w:val="24"/>
          <w:szCs w:val="24"/>
          <w:lang w:val="es-ES"/>
        </w:rPr>
      </w:pPr>
    </w:p>
    <w:p w14:paraId="7CB414FC" w14:textId="77777777" w:rsidR="007F0B39" w:rsidRPr="00AB13D0" w:rsidRDefault="007F0B39" w:rsidP="007F0B39">
      <w:pPr>
        <w:spacing w:line="240" w:lineRule="auto"/>
        <w:jc w:val="both"/>
        <w:rPr>
          <w:rFonts w:ascii="Arial" w:hAnsi="Arial" w:cs="Arial"/>
          <w:sz w:val="24"/>
          <w:szCs w:val="24"/>
          <w:lang w:val="es-ES"/>
        </w:rPr>
      </w:pPr>
    </w:p>
    <w:p w14:paraId="23960414" w14:textId="77777777" w:rsidR="007F0B39" w:rsidRPr="00AB13D0" w:rsidRDefault="007F0B39" w:rsidP="007F0B39">
      <w:pPr>
        <w:spacing w:line="240" w:lineRule="auto"/>
        <w:jc w:val="both"/>
        <w:rPr>
          <w:rFonts w:ascii="Arial" w:hAnsi="Arial" w:cs="Arial"/>
          <w:sz w:val="24"/>
          <w:szCs w:val="24"/>
          <w:lang w:val="es-ES"/>
        </w:rPr>
      </w:pPr>
    </w:p>
    <w:p w14:paraId="4D2748E8" w14:textId="77777777" w:rsidR="007F0B39" w:rsidRPr="00AB13D0" w:rsidRDefault="007F0B39" w:rsidP="007F0B39">
      <w:pPr>
        <w:spacing w:line="240" w:lineRule="auto"/>
        <w:jc w:val="both"/>
        <w:rPr>
          <w:rFonts w:ascii="Arial" w:hAnsi="Arial" w:cs="Arial"/>
          <w:sz w:val="24"/>
          <w:szCs w:val="24"/>
          <w:lang w:val="es-ES"/>
        </w:rPr>
      </w:pPr>
    </w:p>
    <w:p w14:paraId="7724DDB8" w14:textId="77777777" w:rsidR="007F0B39" w:rsidRPr="00AB13D0" w:rsidRDefault="007F0B39" w:rsidP="007F0B39">
      <w:pPr>
        <w:spacing w:line="240" w:lineRule="auto"/>
        <w:jc w:val="both"/>
        <w:rPr>
          <w:rFonts w:ascii="Arial" w:hAnsi="Arial" w:cs="Arial"/>
          <w:sz w:val="24"/>
          <w:szCs w:val="24"/>
          <w:lang w:val="es-ES"/>
        </w:rPr>
      </w:pPr>
    </w:p>
    <w:p w14:paraId="5C5ADC32" w14:textId="77777777" w:rsidR="007F0B39" w:rsidRPr="00AB13D0" w:rsidRDefault="007F0B39" w:rsidP="007F0B39">
      <w:pPr>
        <w:spacing w:line="240" w:lineRule="auto"/>
        <w:jc w:val="both"/>
        <w:rPr>
          <w:rFonts w:ascii="Arial" w:hAnsi="Arial" w:cs="Arial"/>
          <w:sz w:val="24"/>
          <w:szCs w:val="24"/>
          <w:lang w:val="es-ES"/>
        </w:rPr>
      </w:pPr>
    </w:p>
    <w:p w14:paraId="24BE49D9" w14:textId="77777777" w:rsidR="007F0B39" w:rsidRPr="00AB13D0" w:rsidRDefault="007F0B39" w:rsidP="007F0B39">
      <w:pPr>
        <w:spacing w:line="240" w:lineRule="auto"/>
        <w:jc w:val="both"/>
        <w:rPr>
          <w:rFonts w:ascii="Arial" w:hAnsi="Arial" w:cs="Arial"/>
          <w:sz w:val="24"/>
          <w:szCs w:val="24"/>
          <w:lang w:val="es-ES"/>
        </w:rPr>
      </w:pPr>
    </w:p>
    <w:p w14:paraId="3323E1F3" w14:textId="77777777" w:rsidR="007F0B39" w:rsidRPr="00AB13D0" w:rsidRDefault="007F0B39" w:rsidP="007F0B39">
      <w:pPr>
        <w:spacing w:line="240" w:lineRule="auto"/>
        <w:jc w:val="both"/>
        <w:rPr>
          <w:rFonts w:ascii="Arial" w:hAnsi="Arial" w:cs="Arial"/>
          <w:sz w:val="24"/>
          <w:szCs w:val="24"/>
          <w:lang w:val="es-ES"/>
        </w:rPr>
      </w:pPr>
    </w:p>
    <w:p w14:paraId="029FF223" w14:textId="77777777" w:rsidR="007F0B39" w:rsidRPr="00AB13D0" w:rsidRDefault="007F0B39" w:rsidP="007F0B39">
      <w:pPr>
        <w:spacing w:line="240" w:lineRule="auto"/>
        <w:jc w:val="both"/>
        <w:rPr>
          <w:rFonts w:ascii="Arial" w:hAnsi="Arial" w:cs="Arial"/>
          <w:sz w:val="24"/>
          <w:szCs w:val="24"/>
          <w:lang w:val="es-ES"/>
        </w:rPr>
      </w:pPr>
    </w:p>
    <w:p w14:paraId="4D18C76F" w14:textId="77777777" w:rsidR="007F0B39" w:rsidRPr="00AB13D0" w:rsidRDefault="007F0B39" w:rsidP="007F0B39">
      <w:pPr>
        <w:spacing w:line="240" w:lineRule="auto"/>
        <w:jc w:val="both"/>
        <w:rPr>
          <w:rFonts w:ascii="Arial" w:hAnsi="Arial" w:cs="Arial"/>
          <w:sz w:val="24"/>
          <w:szCs w:val="24"/>
          <w:lang w:val="es-ES"/>
        </w:rPr>
      </w:pPr>
    </w:p>
    <w:p w14:paraId="4AA7D94C" w14:textId="77777777" w:rsidR="007F0B39" w:rsidRPr="00AB13D0" w:rsidRDefault="007F0B39" w:rsidP="007F0B39">
      <w:pPr>
        <w:spacing w:line="240" w:lineRule="auto"/>
        <w:jc w:val="both"/>
        <w:rPr>
          <w:rFonts w:ascii="Arial" w:hAnsi="Arial" w:cs="Arial"/>
          <w:sz w:val="24"/>
          <w:szCs w:val="24"/>
          <w:lang w:val="es-ES"/>
        </w:rPr>
      </w:pPr>
    </w:p>
    <w:p w14:paraId="4B4E1EDB" w14:textId="77777777" w:rsidR="003A0A20" w:rsidRPr="00AB13D0" w:rsidRDefault="003A0A20" w:rsidP="007F0B39">
      <w:pPr>
        <w:spacing w:line="240" w:lineRule="auto"/>
        <w:rPr>
          <w:rFonts w:ascii="Arial" w:hAnsi="Arial" w:cs="Arial"/>
          <w:b/>
          <w:sz w:val="24"/>
          <w:szCs w:val="24"/>
        </w:rPr>
      </w:pPr>
    </w:p>
    <w:p w14:paraId="2129B0DE" w14:textId="24E2FE45" w:rsidR="007F0B39" w:rsidRPr="00AB13D0" w:rsidRDefault="007F0B39" w:rsidP="007F0B39">
      <w:pPr>
        <w:spacing w:line="240" w:lineRule="auto"/>
        <w:rPr>
          <w:rFonts w:ascii="Arial" w:hAnsi="Arial" w:cs="Arial"/>
          <w:b/>
          <w:sz w:val="24"/>
          <w:szCs w:val="24"/>
        </w:rPr>
      </w:pPr>
      <w:r w:rsidRPr="00AB13D0">
        <w:rPr>
          <w:rFonts w:ascii="Arial" w:hAnsi="Arial" w:cs="Arial"/>
          <w:b/>
          <w:sz w:val="24"/>
          <w:szCs w:val="24"/>
        </w:rPr>
        <w:lastRenderedPageBreak/>
        <w:t>AGRADECIMIENTOS:</w:t>
      </w:r>
    </w:p>
    <w:p w14:paraId="5772E7AC" w14:textId="77777777" w:rsidR="007F0B39" w:rsidRPr="00AB13D0" w:rsidRDefault="007F0B39" w:rsidP="007F0B39">
      <w:pPr>
        <w:spacing w:line="240" w:lineRule="auto"/>
        <w:rPr>
          <w:rFonts w:ascii="Arial" w:hAnsi="Arial" w:cs="Arial"/>
          <w:sz w:val="24"/>
          <w:szCs w:val="24"/>
        </w:rPr>
      </w:pPr>
    </w:p>
    <w:p w14:paraId="6E2EA612" w14:textId="77777777" w:rsidR="007F0B39" w:rsidRPr="00AB13D0" w:rsidRDefault="007F0B39" w:rsidP="007F0B39">
      <w:pPr>
        <w:spacing w:line="240" w:lineRule="auto"/>
        <w:jc w:val="both"/>
        <w:rPr>
          <w:rFonts w:ascii="Arial" w:hAnsi="Arial" w:cs="Arial"/>
          <w:sz w:val="24"/>
          <w:szCs w:val="24"/>
        </w:rPr>
      </w:pPr>
      <w:r w:rsidRPr="00AB13D0">
        <w:rPr>
          <w:rFonts w:ascii="Arial" w:hAnsi="Arial" w:cs="Arial"/>
          <w:sz w:val="24"/>
          <w:szCs w:val="24"/>
        </w:rPr>
        <w:t>Agradezco a mi colega la Abogada Gabriela Muñiz Duran por la oportunidad brindada de coadyuvar en la investigación referente al presente artículo, esperando además que el mismo sirva de aporte a la comunidad académica y represente un primer pilar para sentar objetivamente las bases de la defensa de un estado constitucional de derecho en el que la protección de los Derechos Humanos sea eficiente y eficaz.</w:t>
      </w:r>
    </w:p>
    <w:p w14:paraId="0EA5F2A8" w14:textId="77777777" w:rsidR="007F0B39" w:rsidRPr="00AB13D0" w:rsidRDefault="007F0B39" w:rsidP="007F0B39">
      <w:pPr>
        <w:spacing w:line="240" w:lineRule="auto"/>
        <w:rPr>
          <w:rFonts w:ascii="Arial" w:hAnsi="Arial" w:cs="Arial"/>
          <w:sz w:val="24"/>
          <w:szCs w:val="24"/>
        </w:rPr>
      </w:pPr>
      <w:r w:rsidRPr="00AB13D0">
        <w:rPr>
          <w:rFonts w:ascii="Arial" w:hAnsi="Arial" w:cs="Arial"/>
          <w:sz w:val="24"/>
          <w:szCs w:val="24"/>
        </w:rPr>
        <w:t xml:space="preserve"> </w:t>
      </w:r>
    </w:p>
    <w:p w14:paraId="0F5AE316" w14:textId="77777777" w:rsidR="007F0B39" w:rsidRPr="00AB13D0" w:rsidRDefault="007F0B39" w:rsidP="007F0B39">
      <w:pPr>
        <w:spacing w:line="240" w:lineRule="auto"/>
        <w:jc w:val="both"/>
        <w:rPr>
          <w:rFonts w:ascii="Arial" w:hAnsi="Arial" w:cs="Arial"/>
          <w:sz w:val="24"/>
          <w:szCs w:val="24"/>
        </w:rPr>
      </w:pPr>
      <w:r w:rsidRPr="00AB13D0">
        <w:rPr>
          <w:rFonts w:ascii="Arial" w:hAnsi="Arial" w:cs="Arial"/>
          <w:b/>
          <w:sz w:val="24"/>
          <w:szCs w:val="24"/>
        </w:rPr>
        <w:t>FINANCIAMIENTO:</w:t>
      </w:r>
    </w:p>
    <w:p w14:paraId="2CC6847B" w14:textId="77777777" w:rsidR="007F0B39" w:rsidRPr="00AB13D0" w:rsidRDefault="007F0B39" w:rsidP="007F0B39">
      <w:pPr>
        <w:spacing w:line="240" w:lineRule="auto"/>
        <w:jc w:val="both"/>
        <w:rPr>
          <w:rFonts w:ascii="Arial" w:hAnsi="Arial" w:cs="Arial"/>
          <w:sz w:val="24"/>
          <w:szCs w:val="24"/>
        </w:rPr>
      </w:pPr>
    </w:p>
    <w:p w14:paraId="56D53315" w14:textId="77777777" w:rsidR="007F0B39" w:rsidRDefault="007F0B39" w:rsidP="007F0B39">
      <w:pPr>
        <w:spacing w:line="240" w:lineRule="auto"/>
        <w:jc w:val="both"/>
        <w:rPr>
          <w:rFonts w:ascii="Arial" w:hAnsi="Arial" w:cs="Arial"/>
          <w:sz w:val="24"/>
          <w:szCs w:val="24"/>
          <w:lang w:val="es-ES"/>
        </w:rPr>
      </w:pPr>
      <w:r w:rsidRPr="00AB13D0">
        <w:rPr>
          <w:rFonts w:ascii="Arial" w:hAnsi="Arial" w:cs="Arial"/>
          <w:sz w:val="24"/>
          <w:szCs w:val="24"/>
        </w:rPr>
        <w:t>En relación al financiamiento, precisamos que el mismo fue financiado con recursos propios.</w:t>
      </w:r>
    </w:p>
    <w:p w14:paraId="4C1582A5" w14:textId="77777777" w:rsidR="007F0B39" w:rsidRPr="002653DB" w:rsidRDefault="007F0B39" w:rsidP="007F0B39">
      <w:pPr>
        <w:spacing w:line="240" w:lineRule="auto"/>
        <w:jc w:val="both"/>
        <w:rPr>
          <w:rFonts w:ascii="Arial" w:hAnsi="Arial" w:cs="Arial"/>
          <w:sz w:val="24"/>
          <w:szCs w:val="24"/>
          <w:lang w:val="es-ES"/>
        </w:rPr>
      </w:pPr>
    </w:p>
    <w:p w14:paraId="7041E1DC" w14:textId="77777777" w:rsidR="007F0B39" w:rsidRPr="002653DB" w:rsidRDefault="007F0B39" w:rsidP="007F0B39">
      <w:pPr>
        <w:spacing w:line="240" w:lineRule="auto"/>
        <w:rPr>
          <w:rFonts w:ascii="Arial" w:hAnsi="Arial" w:cs="Arial"/>
          <w:sz w:val="24"/>
          <w:szCs w:val="24"/>
          <w:lang w:val="es-ES"/>
        </w:rPr>
      </w:pPr>
    </w:p>
    <w:p w14:paraId="37FAC95C" w14:textId="77777777" w:rsidR="00DF0645" w:rsidRPr="007F0B39" w:rsidRDefault="00DF0645">
      <w:pPr>
        <w:rPr>
          <w:lang w:val="es-ES"/>
        </w:rPr>
      </w:pPr>
    </w:p>
    <w:sectPr w:rsidR="00DF0645" w:rsidRPr="007F0B39" w:rsidSect="007F0B39">
      <w:pgSz w:w="11906" w:h="16838"/>
      <w:pgMar w:top="1418"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BB7D7" w14:textId="77777777" w:rsidR="00642E76" w:rsidRDefault="00642E76" w:rsidP="007F0B39">
      <w:pPr>
        <w:spacing w:after="0" w:line="240" w:lineRule="auto"/>
      </w:pPr>
      <w:r>
        <w:separator/>
      </w:r>
    </w:p>
  </w:endnote>
  <w:endnote w:type="continuationSeparator" w:id="0">
    <w:p w14:paraId="10BB89CA" w14:textId="77777777" w:rsidR="00642E76" w:rsidRDefault="00642E76" w:rsidP="007F0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00002FF" w:usb1="4000ACFF" w:usb2="00000001" w:usb3="00000000" w:csb0="0000019F"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FCB95" w14:textId="77777777" w:rsidR="00642E76" w:rsidRDefault="00642E76" w:rsidP="007F0B39">
      <w:pPr>
        <w:spacing w:after="0" w:line="240" w:lineRule="auto"/>
      </w:pPr>
      <w:r>
        <w:separator/>
      </w:r>
    </w:p>
  </w:footnote>
  <w:footnote w:type="continuationSeparator" w:id="0">
    <w:p w14:paraId="1DD4CC59" w14:textId="77777777" w:rsidR="00642E76" w:rsidRDefault="00642E76" w:rsidP="007F0B39">
      <w:pPr>
        <w:spacing w:after="0" w:line="240" w:lineRule="auto"/>
      </w:pPr>
      <w:r>
        <w:continuationSeparator/>
      </w:r>
    </w:p>
  </w:footnote>
  <w:footnote w:id="1">
    <w:p w14:paraId="2A82A0AC" w14:textId="77777777" w:rsidR="007F0B39" w:rsidRPr="00AB13D0" w:rsidRDefault="007F0B39" w:rsidP="007F0B39">
      <w:pPr>
        <w:pStyle w:val="Default"/>
        <w:jc w:val="both"/>
      </w:pPr>
      <w:bookmarkStart w:id="0" w:name="_GoBack"/>
      <w:bookmarkEnd w:id="0"/>
      <w:r w:rsidRPr="00AB13D0">
        <w:rPr>
          <w:rStyle w:val="Refdenotaalpie"/>
        </w:rPr>
        <w:footnoteRef/>
      </w:r>
      <w:r w:rsidRPr="00AB13D0">
        <w:t xml:space="preserve"> </w:t>
      </w:r>
      <w:r w:rsidRPr="00AB13D0">
        <w:rPr>
          <w:sz w:val="18"/>
          <w:szCs w:val="18"/>
        </w:rPr>
        <w:t xml:space="preserve">Abogado - Arbitro. Master en Derecho Constitucional – Universidad Castilla La Mancha España. Candidato a Master en Asesoría Jurídica de Empresas por la Universidad de Malaga. Especialidad en </w:t>
      </w:r>
      <w:proofErr w:type="spellStart"/>
      <w:r w:rsidRPr="00AB13D0">
        <w:rPr>
          <w:sz w:val="18"/>
          <w:szCs w:val="18"/>
        </w:rPr>
        <w:t>Privace</w:t>
      </w:r>
      <w:proofErr w:type="spellEnd"/>
      <w:r w:rsidRPr="00AB13D0">
        <w:rPr>
          <w:sz w:val="18"/>
          <w:szCs w:val="18"/>
        </w:rPr>
        <w:t xml:space="preserve"> </w:t>
      </w:r>
      <w:proofErr w:type="spellStart"/>
      <w:r w:rsidRPr="00AB13D0">
        <w:rPr>
          <w:sz w:val="18"/>
          <w:szCs w:val="18"/>
        </w:rPr>
        <w:t>Law</w:t>
      </w:r>
      <w:proofErr w:type="spellEnd"/>
      <w:r w:rsidRPr="00AB13D0">
        <w:rPr>
          <w:sz w:val="18"/>
          <w:szCs w:val="18"/>
        </w:rPr>
        <w:t xml:space="preserve"> &amp; Data </w:t>
      </w:r>
      <w:proofErr w:type="spellStart"/>
      <w:r w:rsidRPr="00AB13D0">
        <w:rPr>
          <w:sz w:val="18"/>
          <w:szCs w:val="18"/>
        </w:rPr>
        <w:t>Proteccion</w:t>
      </w:r>
      <w:proofErr w:type="spellEnd"/>
      <w:r w:rsidRPr="00AB13D0">
        <w:rPr>
          <w:sz w:val="18"/>
          <w:szCs w:val="18"/>
        </w:rPr>
        <w:t xml:space="preserve"> por la </w:t>
      </w:r>
      <w:proofErr w:type="spellStart"/>
      <w:r w:rsidRPr="00AB13D0">
        <w:rPr>
          <w:sz w:val="18"/>
          <w:szCs w:val="18"/>
        </w:rPr>
        <w:t>University</w:t>
      </w:r>
      <w:proofErr w:type="spellEnd"/>
      <w:r w:rsidRPr="00AB13D0">
        <w:rPr>
          <w:sz w:val="18"/>
          <w:szCs w:val="18"/>
        </w:rPr>
        <w:t xml:space="preserve"> of Pennsylvania, Estados Unidos de América. Miembro de la Unión Iberoamericana de Municipalistas. Miembro del Consejo Superior de Arbitraje del Ilustre Colegio de Abogados de Junín.</w:t>
      </w:r>
    </w:p>
  </w:footnote>
  <w:footnote w:id="2">
    <w:p w14:paraId="705AA1C0" w14:textId="77777777" w:rsidR="007F0B39" w:rsidRPr="00E91B92" w:rsidRDefault="007F0B39" w:rsidP="007F0B39">
      <w:pPr>
        <w:pStyle w:val="Default"/>
        <w:jc w:val="both"/>
      </w:pPr>
      <w:r w:rsidRPr="00AB13D0">
        <w:rPr>
          <w:rStyle w:val="Refdenotaalpie"/>
        </w:rPr>
        <w:footnoteRef/>
      </w:r>
      <w:r w:rsidRPr="00AB13D0">
        <w:t xml:space="preserve"> </w:t>
      </w:r>
      <w:r w:rsidRPr="00AB13D0">
        <w:rPr>
          <w:sz w:val="18"/>
          <w:szCs w:val="18"/>
        </w:rPr>
        <w:t>Abogada. Master en Derecho Constitucional – Universidad Castilla La Mancha España. Segunda Especialidad en Derecho Registral – Pontificia Universidad Católica del Perú. Master en Derecho Civil y Comercial – Universidad Andina del Cusco. Catedrática universitaria en la Universidad Continental – Sede Cusco.</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0457D"/>
    <w:multiLevelType w:val="hybridMultilevel"/>
    <w:tmpl w:val="2C181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494415"/>
    <w:multiLevelType w:val="multilevel"/>
    <w:tmpl w:val="2E1A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F33F6"/>
    <w:multiLevelType w:val="hybridMultilevel"/>
    <w:tmpl w:val="C4B630C6"/>
    <w:lvl w:ilvl="0" w:tplc="AD16A2F0">
      <w:start w:val="1"/>
      <w:numFmt w:val="decimal"/>
      <w:lvlText w:val="%1."/>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B39"/>
    <w:rsid w:val="000676EC"/>
    <w:rsid w:val="0008077C"/>
    <w:rsid w:val="00223904"/>
    <w:rsid w:val="003A0A20"/>
    <w:rsid w:val="00523A10"/>
    <w:rsid w:val="005C2ECC"/>
    <w:rsid w:val="005F632E"/>
    <w:rsid w:val="00642E76"/>
    <w:rsid w:val="007F0B39"/>
    <w:rsid w:val="00814745"/>
    <w:rsid w:val="008976E8"/>
    <w:rsid w:val="00A27B45"/>
    <w:rsid w:val="00AB13D0"/>
    <w:rsid w:val="00C129DD"/>
    <w:rsid w:val="00DE4819"/>
    <w:rsid w:val="00DF0645"/>
    <w:rsid w:val="00EF489E"/>
    <w:rsid w:val="00F20CE5"/>
    <w:rsid w:val="00F860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36458"/>
  <w15:chartTrackingRefBased/>
  <w15:docId w15:val="{9F789606-F14A-4FD4-A462-65027963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B39"/>
    <w:rPr>
      <w:lang w:val="es-PE"/>
    </w:rPr>
  </w:style>
  <w:style w:type="paragraph" w:styleId="Ttulo1">
    <w:name w:val="heading 1"/>
    <w:basedOn w:val="Normal"/>
    <w:next w:val="Normal"/>
    <w:link w:val="Ttulo1Car"/>
    <w:uiPriority w:val="9"/>
    <w:qFormat/>
    <w:rsid w:val="007F0B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F0B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F0B3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F0B3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F0B3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F0B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F0B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F0B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F0B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0B3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F0B3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F0B3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F0B3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F0B3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F0B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F0B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F0B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F0B39"/>
    <w:rPr>
      <w:rFonts w:eastAsiaTheme="majorEastAsia" w:cstheme="majorBidi"/>
      <w:color w:val="272727" w:themeColor="text1" w:themeTint="D8"/>
    </w:rPr>
  </w:style>
  <w:style w:type="paragraph" w:styleId="Ttulo">
    <w:name w:val="Title"/>
    <w:basedOn w:val="Normal"/>
    <w:next w:val="Normal"/>
    <w:link w:val="TtuloCar"/>
    <w:uiPriority w:val="10"/>
    <w:qFormat/>
    <w:rsid w:val="007F0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0B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F0B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F0B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F0B39"/>
    <w:pPr>
      <w:spacing w:before="160"/>
      <w:jc w:val="center"/>
    </w:pPr>
    <w:rPr>
      <w:i/>
      <w:iCs/>
      <w:color w:val="404040" w:themeColor="text1" w:themeTint="BF"/>
    </w:rPr>
  </w:style>
  <w:style w:type="character" w:customStyle="1" w:styleId="CitaCar">
    <w:name w:val="Cita Car"/>
    <w:basedOn w:val="Fuentedeprrafopredeter"/>
    <w:link w:val="Cita"/>
    <w:uiPriority w:val="29"/>
    <w:rsid w:val="007F0B39"/>
    <w:rPr>
      <w:i/>
      <w:iCs/>
      <w:color w:val="404040" w:themeColor="text1" w:themeTint="BF"/>
    </w:rPr>
  </w:style>
  <w:style w:type="paragraph" w:styleId="Prrafodelista">
    <w:name w:val="List Paragraph"/>
    <w:basedOn w:val="Normal"/>
    <w:uiPriority w:val="34"/>
    <w:qFormat/>
    <w:rsid w:val="007F0B39"/>
    <w:pPr>
      <w:ind w:left="720"/>
      <w:contextualSpacing/>
    </w:pPr>
  </w:style>
  <w:style w:type="character" w:styleId="nfasisintenso">
    <w:name w:val="Intense Emphasis"/>
    <w:basedOn w:val="Fuentedeprrafopredeter"/>
    <w:uiPriority w:val="21"/>
    <w:qFormat/>
    <w:rsid w:val="007F0B39"/>
    <w:rPr>
      <w:i/>
      <w:iCs/>
      <w:color w:val="2F5496" w:themeColor="accent1" w:themeShade="BF"/>
    </w:rPr>
  </w:style>
  <w:style w:type="paragraph" w:styleId="Citadestacada">
    <w:name w:val="Intense Quote"/>
    <w:basedOn w:val="Normal"/>
    <w:next w:val="Normal"/>
    <w:link w:val="CitadestacadaCar"/>
    <w:uiPriority w:val="30"/>
    <w:qFormat/>
    <w:rsid w:val="007F0B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F0B39"/>
    <w:rPr>
      <w:i/>
      <w:iCs/>
      <w:color w:val="2F5496" w:themeColor="accent1" w:themeShade="BF"/>
    </w:rPr>
  </w:style>
  <w:style w:type="character" w:styleId="Referenciaintensa">
    <w:name w:val="Intense Reference"/>
    <w:basedOn w:val="Fuentedeprrafopredeter"/>
    <w:uiPriority w:val="32"/>
    <w:qFormat/>
    <w:rsid w:val="007F0B39"/>
    <w:rPr>
      <w:b/>
      <w:bCs/>
      <w:smallCaps/>
      <w:color w:val="2F5496" w:themeColor="accent1" w:themeShade="BF"/>
      <w:spacing w:val="5"/>
    </w:rPr>
  </w:style>
  <w:style w:type="character" w:styleId="Refdenotaalpie">
    <w:name w:val="footnote reference"/>
    <w:basedOn w:val="Fuentedeprrafopredeter"/>
    <w:semiHidden/>
    <w:unhideWhenUsed/>
    <w:rsid w:val="007F0B39"/>
    <w:rPr>
      <w:vertAlign w:val="superscript"/>
    </w:rPr>
  </w:style>
  <w:style w:type="paragraph" w:customStyle="1" w:styleId="Default">
    <w:name w:val="Default"/>
    <w:rsid w:val="007F0B39"/>
    <w:pPr>
      <w:autoSpaceDE w:val="0"/>
      <w:autoSpaceDN w:val="0"/>
      <w:adjustRightInd w:val="0"/>
      <w:spacing w:after="0" w:line="240" w:lineRule="auto"/>
    </w:pPr>
    <w:rPr>
      <w:rFonts w:ascii="Times New Roman" w:hAnsi="Times New Roman" w:cs="Times New Roman"/>
      <w:color w:val="000000"/>
      <w:kern w:val="0"/>
      <w:sz w:val="24"/>
      <w:szCs w:val="24"/>
      <w:lang w:val="es-PE"/>
    </w:rPr>
  </w:style>
  <w:style w:type="paragraph" w:styleId="Piedepgina">
    <w:name w:val="footer"/>
    <w:basedOn w:val="Normal"/>
    <w:link w:val="PiedepginaCar"/>
    <w:uiPriority w:val="99"/>
    <w:unhideWhenUsed/>
    <w:rsid w:val="007F0B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0B39"/>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14</Pages>
  <Words>4687</Words>
  <Characters>25779</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Piero Luis Leiva Garcia</dc:creator>
  <cp:keywords/>
  <dc:description/>
  <cp:lastModifiedBy>TUPTC</cp:lastModifiedBy>
  <cp:revision>2</cp:revision>
  <dcterms:created xsi:type="dcterms:W3CDTF">2025-08-06T17:35:00Z</dcterms:created>
  <dcterms:modified xsi:type="dcterms:W3CDTF">2026-09-16T19:38:00Z</dcterms:modified>
</cp:coreProperties>
</file>